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4B" w:rsidRPr="000E00B4" w:rsidRDefault="000E00B4">
      <w:pPr>
        <w:pBdr>
          <w:bottom w:val="single" w:sz="6" w:space="1" w:color="auto"/>
        </w:pBdr>
        <w:rPr>
          <w:b/>
          <w:sz w:val="32"/>
          <w:szCs w:val="32"/>
        </w:rPr>
      </w:pPr>
      <w:bookmarkStart w:id="0" w:name="_GoBack"/>
      <w:bookmarkEnd w:id="0"/>
      <w:r w:rsidRPr="000E00B4">
        <w:rPr>
          <w:b/>
          <w:sz w:val="32"/>
          <w:szCs w:val="32"/>
        </w:rPr>
        <w:t>Beleidsnotitie</w:t>
      </w:r>
    </w:p>
    <w:p w:rsidR="002278EB" w:rsidRPr="002278EB" w:rsidRDefault="000E00B4" w:rsidP="002278EB">
      <w:pPr>
        <w:rPr>
          <w:b/>
        </w:rPr>
      </w:pPr>
      <w:r w:rsidRPr="000E00B4">
        <w:rPr>
          <w:b/>
        </w:rPr>
        <w:t>Beleidsnotitie</w:t>
      </w:r>
      <w:r w:rsidR="002278EB">
        <w:rPr>
          <w:b/>
        </w:rPr>
        <w:t xml:space="preserve"> “</w:t>
      </w:r>
      <w:r w:rsidR="002278EB" w:rsidRPr="002278EB">
        <w:rPr>
          <w:b/>
        </w:rPr>
        <w:t xml:space="preserve">Naar een sober, doch doelmatig Monumentenbeleid” </w:t>
      </w:r>
      <w:r w:rsidR="002278EB">
        <w:rPr>
          <w:b/>
        </w:rPr>
        <w:t xml:space="preserve">                                </w:t>
      </w:r>
      <w:r w:rsidR="002278EB" w:rsidRPr="002278EB">
        <w:rPr>
          <w:b/>
        </w:rPr>
        <w:t xml:space="preserve">(Harmonisatie Monumentenbeleid) </w:t>
      </w:r>
    </w:p>
    <w:p w:rsidR="000E00B4" w:rsidRPr="000E00B4" w:rsidRDefault="000E00B4">
      <w:pPr>
        <w:rPr>
          <w:b/>
        </w:rPr>
      </w:pPr>
    </w:p>
    <w:p w:rsidR="000E00B4" w:rsidRDefault="000E00B4">
      <w:r w:rsidRPr="000E00B4">
        <w:t xml:space="preserve">Onderwerp: Monumentenbeleid </w:t>
      </w:r>
    </w:p>
    <w:p w:rsidR="0059385B" w:rsidRPr="000E00B4" w:rsidRDefault="0059385B">
      <w:r>
        <w:t>Opsteller: A. J.W. Bazen, afd. REO, cluster Ruimtelijke Plannen</w:t>
      </w:r>
    </w:p>
    <w:p w:rsidR="000E00B4" w:rsidRDefault="000E00B4" w:rsidP="000F0D73">
      <w:pPr>
        <w:pBdr>
          <w:bottom w:val="single" w:sz="6" w:space="1" w:color="auto"/>
        </w:pBdr>
      </w:pPr>
      <w:r w:rsidRPr="000E00B4">
        <w:t xml:space="preserve">Datum: versie </w:t>
      </w:r>
      <w:r w:rsidR="009D579F">
        <w:t>3</w:t>
      </w:r>
      <w:r w:rsidR="00C76F28">
        <w:t xml:space="preserve">1 </w:t>
      </w:r>
      <w:r w:rsidR="002278EB">
        <w:t xml:space="preserve"> maart </w:t>
      </w:r>
      <w:r w:rsidRPr="000E00B4">
        <w:t>2014</w:t>
      </w:r>
      <w:r w:rsidR="009D579F">
        <w:t xml:space="preserve"> ( Na behandeling PO)</w:t>
      </w:r>
    </w:p>
    <w:p w:rsidR="000E00B4" w:rsidRPr="00785DE0" w:rsidRDefault="000E00B4" w:rsidP="000F0D73">
      <w:pPr>
        <w:pStyle w:val="Lijstalinea"/>
        <w:numPr>
          <w:ilvl w:val="0"/>
          <w:numId w:val="2"/>
        </w:numPr>
        <w:rPr>
          <w:b/>
          <w:u w:val="single"/>
        </w:rPr>
      </w:pPr>
      <w:r w:rsidRPr="00785DE0">
        <w:rPr>
          <w:b/>
          <w:u w:val="single"/>
        </w:rPr>
        <w:t>Inleiding</w:t>
      </w:r>
    </w:p>
    <w:p w:rsidR="00167517" w:rsidRDefault="000E00B4">
      <w:r>
        <w:t xml:space="preserve">Op 1 januari 2014 is de nieuwe gemeente Alphen aan den Rijn ontstaan na fusie van de gemeenten Alphen aan den Rijn, Boskoop en Rijnwoude.  De fusie brengt met zich mee dat op tal van beleidsterreinen harmonisatie noodzakelijk is, zo ook op </w:t>
      </w:r>
      <w:r w:rsidR="007A504A">
        <w:t>het</w:t>
      </w:r>
      <w:r>
        <w:t xml:space="preserve"> beleidsterrein</w:t>
      </w:r>
      <w:r w:rsidR="002278EB">
        <w:t xml:space="preserve"> </w:t>
      </w:r>
      <w:r>
        <w:t>Monumentenzorg</w:t>
      </w:r>
      <w:r w:rsidR="00E71053">
        <w:t xml:space="preserve"> </w:t>
      </w:r>
      <w:r>
        <w:t>.</w:t>
      </w:r>
      <w:r w:rsidR="004340D6">
        <w:t xml:space="preserve"> De noodzaak tot harmonisatie vloeit voort uit wet- en regelgeving, maar ook uit politiek-bestuurlijke behoefte. </w:t>
      </w:r>
    </w:p>
    <w:p w:rsidR="00A0719B" w:rsidRDefault="00A0719B"/>
    <w:p w:rsidR="00167517" w:rsidRPr="00785DE0" w:rsidRDefault="00167517" w:rsidP="00167517">
      <w:pPr>
        <w:pStyle w:val="Lijstalinea"/>
        <w:numPr>
          <w:ilvl w:val="0"/>
          <w:numId w:val="2"/>
        </w:numPr>
        <w:rPr>
          <w:b/>
          <w:u w:val="single"/>
        </w:rPr>
      </w:pPr>
      <w:r w:rsidRPr="00785DE0">
        <w:rPr>
          <w:b/>
          <w:u w:val="single"/>
        </w:rPr>
        <w:t>Doelstelling van de</w:t>
      </w:r>
      <w:r w:rsidR="003F3F1C">
        <w:rPr>
          <w:b/>
          <w:u w:val="single"/>
        </w:rPr>
        <w:t xml:space="preserve">ze </w:t>
      </w:r>
      <w:r w:rsidRPr="00785DE0">
        <w:rPr>
          <w:b/>
          <w:u w:val="single"/>
        </w:rPr>
        <w:t xml:space="preserve"> beleidsnotitie</w:t>
      </w:r>
    </w:p>
    <w:p w:rsidR="004340D6" w:rsidRDefault="004340D6">
      <w:r>
        <w:t xml:space="preserve">Om het beleid </w:t>
      </w:r>
      <w:r w:rsidR="002449E8">
        <w:t xml:space="preserve">op het terrein van </w:t>
      </w:r>
      <w:r w:rsidR="003F5B58">
        <w:t>M</w:t>
      </w:r>
      <w:r w:rsidR="002449E8">
        <w:t>onumentenzorg</w:t>
      </w:r>
      <w:r w:rsidR="002278EB">
        <w:t xml:space="preserve"> </w:t>
      </w:r>
      <w:r w:rsidR="002449E8">
        <w:t xml:space="preserve"> </w:t>
      </w:r>
      <w:r>
        <w:t>op adequate wijze  te kunnen harmoniseren dien</w:t>
      </w:r>
      <w:r w:rsidR="003F3F1C">
        <w:t>t rekening te worden gehouden met de volgende  aspecten</w:t>
      </w:r>
      <w:r>
        <w:t>:</w:t>
      </w:r>
    </w:p>
    <w:p w:rsidR="004340D6" w:rsidRDefault="00656A92" w:rsidP="004340D6">
      <w:pPr>
        <w:pStyle w:val="Lijstalinea"/>
        <w:numPr>
          <w:ilvl w:val="0"/>
          <w:numId w:val="1"/>
        </w:numPr>
      </w:pPr>
      <w:r>
        <w:t>d</w:t>
      </w:r>
      <w:r w:rsidR="004340D6">
        <w:t>e stand van zaken in de voormalige gemeenten Alphen aan den Rijn, Boskoop en Rijnwoude;</w:t>
      </w:r>
    </w:p>
    <w:p w:rsidR="004340D6" w:rsidRDefault="00656A92" w:rsidP="004340D6">
      <w:pPr>
        <w:pStyle w:val="Lijstalinea"/>
        <w:numPr>
          <w:ilvl w:val="0"/>
          <w:numId w:val="1"/>
        </w:numPr>
      </w:pPr>
      <w:r>
        <w:t>m</w:t>
      </w:r>
      <w:r w:rsidR="003F5B58">
        <w:t xml:space="preserve">aatregelen die </w:t>
      </w:r>
      <w:r w:rsidR="002449E8">
        <w:t xml:space="preserve"> </w:t>
      </w:r>
      <w:r w:rsidR="004340D6">
        <w:t>vanuit wet- en regelgeving</w:t>
      </w:r>
      <w:r w:rsidR="003F5B58">
        <w:t xml:space="preserve"> noodzakelijk zijn</w:t>
      </w:r>
      <w:r w:rsidR="008B00FA">
        <w:t>;</w:t>
      </w:r>
    </w:p>
    <w:p w:rsidR="004340D6" w:rsidRDefault="00656A92" w:rsidP="004340D6">
      <w:pPr>
        <w:pStyle w:val="Lijstalinea"/>
        <w:numPr>
          <w:ilvl w:val="0"/>
          <w:numId w:val="1"/>
        </w:numPr>
      </w:pPr>
      <w:r>
        <w:t>h</w:t>
      </w:r>
      <w:r w:rsidR="003F5B58">
        <w:t>et a</w:t>
      </w:r>
      <w:r w:rsidR="004340D6">
        <w:t>mbitieniveau van de nieuwe gemeente Alphen aan den Rijn</w:t>
      </w:r>
      <w:r w:rsidR="008B00FA">
        <w:t>;</w:t>
      </w:r>
    </w:p>
    <w:p w:rsidR="000E00B4" w:rsidRDefault="00656A92" w:rsidP="004340D6">
      <w:pPr>
        <w:pStyle w:val="Lijstalinea"/>
        <w:numPr>
          <w:ilvl w:val="0"/>
          <w:numId w:val="1"/>
        </w:numPr>
      </w:pPr>
      <w:r>
        <w:t>d</w:t>
      </w:r>
      <w:r w:rsidR="003F5B58">
        <w:t>e b</w:t>
      </w:r>
      <w:r w:rsidR="008B00FA">
        <w:t xml:space="preserve">eschikbaarheid van </w:t>
      </w:r>
      <w:r w:rsidR="004340D6">
        <w:t xml:space="preserve"> budget</w:t>
      </w:r>
      <w:r w:rsidR="00792CB4">
        <w:t xml:space="preserve"> </w:t>
      </w:r>
      <w:r w:rsidR="000F0D73">
        <w:t>;</w:t>
      </w:r>
    </w:p>
    <w:p w:rsidR="000F0D73" w:rsidRDefault="002278EB" w:rsidP="004340D6">
      <w:pPr>
        <w:pStyle w:val="Lijstalinea"/>
        <w:numPr>
          <w:ilvl w:val="0"/>
          <w:numId w:val="1"/>
        </w:numPr>
      </w:pPr>
      <w:r>
        <w:t xml:space="preserve">een planning </w:t>
      </w:r>
      <w:r w:rsidR="000F0D73">
        <w:t>om het beleid vorm te geven.</w:t>
      </w:r>
    </w:p>
    <w:p w:rsidR="00167517" w:rsidRDefault="00167517" w:rsidP="00167517">
      <w:r>
        <w:t xml:space="preserve">Deze  beleidsnotitie beoogt een  aanzet te geven tot </w:t>
      </w:r>
      <w:r w:rsidR="00E71053">
        <w:t xml:space="preserve"> de harmonisatie van het beleid op</w:t>
      </w:r>
      <w:r>
        <w:t xml:space="preserve"> het gebied van de </w:t>
      </w:r>
      <w:r w:rsidR="003F5B58">
        <w:t>M</w:t>
      </w:r>
      <w:r>
        <w:t xml:space="preserve">onumentenzorg . Nadat </w:t>
      </w:r>
      <w:r w:rsidR="00656A92">
        <w:t xml:space="preserve">door het college van burgemeester en wethouders </w:t>
      </w:r>
      <w:r w:rsidR="00A0719B">
        <w:t xml:space="preserve">besluiten zijn genomen </w:t>
      </w:r>
      <w:r w:rsidR="003F5B58">
        <w:t xml:space="preserve"> over </w:t>
      </w:r>
      <w:r>
        <w:t xml:space="preserve">de </w:t>
      </w:r>
      <w:r w:rsidR="003F5B58">
        <w:t xml:space="preserve">gewenste </w:t>
      </w:r>
      <w:r>
        <w:t>beleidskaders</w:t>
      </w:r>
      <w:r w:rsidR="00656A92">
        <w:t>,</w:t>
      </w:r>
      <w:r>
        <w:t xml:space="preserve">  dient het beleid </w:t>
      </w:r>
      <w:r w:rsidR="002449E8">
        <w:t xml:space="preserve">als volgende fase </w:t>
      </w:r>
      <w:r w:rsidR="00CD213D">
        <w:t xml:space="preserve"> </w:t>
      </w:r>
      <w:r>
        <w:t xml:space="preserve">te worden uitgewerkt voor besluitvorming in het college en de gemeenteraad. </w:t>
      </w:r>
    </w:p>
    <w:p w:rsidR="00A0719B" w:rsidRDefault="00A0719B" w:rsidP="00167517"/>
    <w:p w:rsidR="00167517" w:rsidRPr="00785DE0" w:rsidRDefault="00B61DE9" w:rsidP="00B61DE9">
      <w:pPr>
        <w:pStyle w:val="Lijstalinea"/>
        <w:numPr>
          <w:ilvl w:val="0"/>
          <w:numId w:val="2"/>
        </w:numPr>
        <w:rPr>
          <w:b/>
          <w:u w:val="single"/>
        </w:rPr>
      </w:pPr>
      <w:r w:rsidRPr="00785DE0">
        <w:rPr>
          <w:b/>
          <w:u w:val="single"/>
        </w:rPr>
        <w:t>Stand van zaken in de voormalige gemeenten</w:t>
      </w:r>
    </w:p>
    <w:p w:rsidR="00981EDA" w:rsidRDefault="00981EDA" w:rsidP="00981EDA">
      <w:pPr>
        <w:pStyle w:val="Lijstalinea"/>
        <w:rPr>
          <w:u w:val="single"/>
        </w:rPr>
      </w:pPr>
    </w:p>
    <w:p w:rsidR="00981EDA" w:rsidRDefault="00981EDA" w:rsidP="00981EDA">
      <w:pPr>
        <w:pStyle w:val="Lijstalinea"/>
        <w:rPr>
          <w:i/>
          <w:u w:val="single"/>
        </w:rPr>
      </w:pPr>
      <w:r w:rsidRPr="00981EDA">
        <w:rPr>
          <w:i/>
          <w:u w:val="single"/>
        </w:rPr>
        <w:t>Alphen aan den Rijn</w:t>
      </w:r>
    </w:p>
    <w:p w:rsidR="00147594" w:rsidRDefault="00453C99" w:rsidP="00453C99">
      <w:r w:rsidRPr="00147594">
        <w:t>De oude gemeente Alphen aan den Rijn beschikt</w:t>
      </w:r>
      <w:r w:rsidR="00373390" w:rsidRPr="00147594">
        <w:t xml:space="preserve">e </w:t>
      </w:r>
      <w:r w:rsidRPr="00147594">
        <w:t xml:space="preserve">over 74 rijks- en 65 gemeentelijke monumenten. </w:t>
      </w:r>
      <w:r w:rsidR="00373390" w:rsidRPr="00147594">
        <w:t>In 200</w:t>
      </w:r>
      <w:r w:rsidR="00105816">
        <w:t>3</w:t>
      </w:r>
      <w:r w:rsidR="00373390" w:rsidRPr="00147594">
        <w:t xml:space="preserve"> heeft de gemeenteraad de Nota Cultuurhistorie Alphen aan den Rijn vastgesteld en daarmee een aanzet gegeven voor de ontwikkeling van gemeentelijk beleid op het terrein van de </w:t>
      </w:r>
      <w:r w:rsidR="00B6460F">
        <w:t>M</w:t>
      </w:r>
      <w:r w:rsidR="00373390" w:rsidRPr="00147594">
        <w:t xml:space="preserve">onumentenzorg, </w:t>
      </w:r>
      <w:r w:rsidR="00B6460F">
        <w:t>A</w:t>
      </w:r>
      <w:r w:rsidR="00373390" w:rsidRPr="00147594">
        <w:t xml:space="preserve">rcheologie en aanverwante beleidsvelden. In het verlengde daarvan heeft vaststelling plaatsgevonden van een Monumentenverordening, een </w:t>
      </w:r>
      <w:r w:rsidR="003F3F1C">
        <w:t>M</w:t>
      </w:r>
      <w:r w:rsidR="00373390" w:rsidRPr="00147594">
        <w:t xml:space="preserve">onumentensubsidieverordening en een </w:t>
      </w:r>
      <w:r w:rsidR="003F3F1C">
        <w:t>V</w:t>
      </w:r>
      <w:r w:rsidR="00373390" w:rsidRPr="00147594">
        <w:t xml:space="preserve">erordening op de Monumentencommissie. </w:t>
      </w:r>
      <w:r w:rsidR="00147594" w:rsidRPr="00147594">
        <w:t>Deze verordeningen zijn nog steeds vigerend.</w:t>
      </w:r>
      <w:r w:rsidR="003F3F1C">
        <w:t xml:space="preserve"> </w:t>
      </w:r>
      <w:r w:rsidR="00F45D71">
        <w:t xml:space="preserve"> Dit geldt echter niet voor de Monumentencommissie van de vm. gemeenten Alphen aan den Rijn, noch voor de Monumentencommissie van vm. Boskoop en Rijnwoude. Ingevolge artikel 31 van de Wet </w:t>
      </w:r>
      <w:proofErr w:type="spellStart"/>
      <w:r w:rsidR="00F45D71">
        <w:t>Arhi</w:t>
      </w:r>
      <w:proofErr w:type="spellEnd"/>
      <w:r w:rsidR="00F45D71">
        <w:t xml:space="preserve">, zijn deze commissies vanaf de datum van de </w:t>
      </w:r>
      <w:r w:rsidR="00F45D71">
        <w:lastRenderedPageBreak/>
        <w:t>gemeentelijke herindeling van rechtswege ontbonden.</w:t>
      </w:r>
      <w:r w:rsidR="00147594" w:rsidRPr="00147594">
        <w:t xml:space="preserve"> Vanwege bezuinigingen </w:t>
      </w:r>
      <w:r w:rsidR="003535EC">
        <w:t xml:space="preserve">in de gemeente Alphen aan den Rijn </w:t>
      </w:r>
      <w:r w:rsidR="00147594" w:rsidRPr="00147594">
        <w:t xml:space="preserve">is het subsidieplafond voor monumenten gereduceerd tot nul.  </w:t>
      </w:r>
    </w:p>
    <w:p w:rsidR="001A7642" w:rsidRDefault="001A7642" w:rsidP="00453C99">
      <w:r>
        <w:t xml:space="preserve">Specifieke zaken die in Alphen aan den Rijn op het gebied van </w:t>
      </w:r>
      <w:r w:rsidR="003535EC">
        <w:t>M</w:t>
      </w:r>
      <w:r>
        <w:t>onumentenzorg  spelen  zijn:</w:t>
      </w:r>
    </w:p>
    <w:p w:rsidR="001A7642" w:rsidRDefault="00F45D71" w:rsidP="001A7642">
      <w:pPr>
        <w:pStyle w:val="Lijstalinea"/>
        <w:numPr>
          <w:ilvl w:val="0"/>
          <w:numId w:val="7"/>
        </w:numPr>
      </w:pPr>
      <w:r>
        <w:t>Lopende zaken met betrekking tot monumentenpanden, w.o. aanvragen omgevingsvergunning</w:t>
      </w:r>
      <w:r w:rsidR="006B35A7">
        <w:t>;</w:t>
      </w:r>
      <w:r>
        <w:t xml:space="preserve"> </w:t>
      </w:r>
    </w:p>
    <w:p w:rsidR="00A0719B" w:rsidRDefault="00A0719B" w:rsidP="00981EDA">
      <w:pPr>
        <w:pStyle w:val="Lijstalinea"/>
        <w:rPr>
          <w:i/>
          <w:u w:val="single"/>
        </w:rPr>
      </w:pPr>
    </w:p>
    <w:p w:rsidR="00A0719B" w:rsidRDefault="00A0719B" w:rsidP="00981EDA">
      <w:pPr>
        <w:pStyle w:val="Lijstalinea"/>
        <w:rPr>
          <w:i/>
          <w:u w:val="single"/>
        </w:rPr>
      </w:pPr>
    </w:p>
    <w:p w:rsidR="00981EDA" w:rsidRDefault="00981EDA" w:rsidP="00981EDA">
      <w:pPr>
        <w:pStyle w:val="Lijstalinea"/>
        <w:rPr>
          <w:i/>
          <w:u w:val="single"/>
        </w:rPr>
      </w:pPr>
      <w:r w:rsidRPr="00981EDA">
        <w:rPr>
          <w:i/>
          <w:u w:val="single"/>
        </w:rPr>
        <w:t>Boskoop</w:t>
      </w:r>
    </w:p>
    <w:p w:rsidR="001A7642" w:rsidRDefault="001A7642" w:rsidP="001A7642">
      <w:pPr>
        <w:adjustRightInd w:val="0"/>
        <w:spacing w:line="280" w:lineRule="atLeast"/>
        <w:rPr>
          <w:rFonts w:ascii="Verdana" w:hAnsi="Verdana"/>
          <w:sz w:val="18"/>
          <w:szCs w:val="18"/>
          <w:lang w:eastAsia="nl-NL"/>
        </w:rPr>
      </w:pPr>
      <w:r w:rsidRPr="00B1210C">
        <w:rPr>
          <w:rFonts w:ascii="Verdana" w:hAnsi="Verdana"/>
          <w:sz w:val="18"/>
          <w:szCs w:val="18"/>
          <w:lang w:eastAsia="nl-NL"/>
        </w:rPr>
        <w:t>Naar aanleiding van de “Startnotitie monumentenbeleid” heeft de raad</w:t>
      </w:r>
      <w:r w:rsidR="003F3F1C">
        <w:rPr>
          <w:rFonts w:ascii="Verdana" w:hAnsi="Verdana"/>
          <w:sz w:val="18"/>
          <w:szCs w:val="18"/>
          <w:lang w:eastAsia="nl-NL"/>
        </w:rPr>
        <w:t xml:space="preserve"> van de voormalige gemeente Boskoop</w:t>
      </w:r>
      <w:r w:rsidRPr="00B1210C">
        <w:rPr>
          <w:rFonts w:ascii="Verdana" w:hAnsi="Verdana"/>
          <w:sz w:val="18"/>
          <w:szCs w:val="18"/>
          <w:lang w:eastAsia="nl-NL"/>
        </w:rPr>
        <w:t xml:space="preserve"> op 23 april 2009 de </w:t>
      </w:r>
      <w:r>
        <w:rPr>
          <w:rFonts w:ascii="Verdana" w:hAnsi="Verdana"/>
          <w:sz w:val="18"/>
          <w:szCs w:val="18"/>
          <w:lang w:eastAsia="nl-NL"/>
        </w:rPr>
        <w:t>“</w:t>
      </w:r>
      <w:r w:rsidRPr="00B1210C">
        <w:rPr>
          <w:rFonts w:ascii="Verdana" w:hAnsi="Verdana"/>
          <w:sz w:val="18"/>
          <w:szCs w:val="18"/>
          <w:lang w:eastAsia="nl-NL"/>
        </w:rPr>
        <w:t>Monumentenverordening gemeente Boskoop 2009</w:t>
      </w:r>
      <w:r>
        <w:rPr>
          <w:rFonts w:ascii="Verdana" w:hAnsi="Verdana"/>
          <w:sz w:val="18"/>
          <w:szCs w:val="18"/>
          <w:lang w:eastAsia="nl-NL"/>
        </w:rPr>
        <w:t>”</w:t>
      </w:r>
      <w:r w:rsidRPr="00B1210C">
        <w:rPr>
          <w:rFonts w:ascii="Verdana" w:hAnsi="Verdana"/>
          <w:sz w:val="18"/>
          <w:szCs w:val="18"/>
          <w:lang w:eastAsia="nl-NL"/>
        </w:rPr>
        <w:t xml:space="preserve"> vastgesteld</w:t>
      </w:r>
      <w:r>
        <w:rPr>
          <w:rFonts w:ascii="Verdana" w:hAnsi="Verdana"/>
          <w:sz w:val="18"/>
          <w:szCs w:val="18"/>
          <w:lang w:eastAsia="nl-NL"/>
        </w:rPr>
        <w:t xml:space="preserve"> en v</w:t>
      </w:r>
      <w:r w:rsidRPr="00B1210C">
        <w:rPr>
          <w:rFonts w:ascii="Verdana" w:hAnsi="Verdana"/>
          <w:sz w:val="18"/>
          <w:szCs w:val="18"/>
          <w:lang w:eastAsia="nl-NL"/>
        </w:rPr>
        <w:t>ervolgens</w:t>
      </w:r>
      <w:r>
        <w:rPr>
          <w:rFonts w:ascii="Verdana" w:hAnsi="Verdana"/>
          <w:sz w:val="18"/>
          <w:szCs w:val="18"/>
          <w:lang w:eastAsia="nl-NL"/>
        </w:rPr>
        <w:t xml:space="preserve"> op 28 januari 2010</w:t>
      </w:r>
      <w:r w:rsidRPr="00B1210C">
        <w:rPr>
          <w:rFonts w:ascii="Verdana" w:hAnsi="Verdana"/>
          <w:sz w:val="18"/>
          <w:szCs w:val="18"/>
          <w:lang w:eastAsia="nl-NL"/>
        </w:rPr>
        <w:t xml:space="preserve"> het “Plan van aanpak monumentenzorg in de gemeente Boskoop”</w:t>
      </w:r>
      <w:r w:rsidR="003F3F1C">
        <w:rPr>
          <w:rFonts w:ascii="Verdana" w:hAnsi="Verdana"/>
          <w:sz w:val="18"/>
          <w:szCs w:val="18"/>
          <w:lang w:eastAsia="nl-NL"/>
        </w:rPr>
        <w:t>.</w:t>
      </w:r>
      <w:r w:rsidRPr="00B1210C">
        <w:rPr>
          <w:rFonts w:ascii="Verdana" w:hAnsi="Verdana"/>
          <w:sz w:val="18"/>
          <w:szCs w:val="18"/>
          <w:lang w:eastAsia="nl-NL"/>
        </w:rPr>
        <w:t xml:space="preserve"> </w:t>
      </w:r>
    </w:p>
    <w:p w:rsidR="001A7642" w:rsidRPr="00B1210C" w:rsidRDefault="001A7642" w:rsidP="001A7642">
      <w:pPr>
        <w:adjustRightInd w:val="0"/>
        <w:spacing w:line="280" w:lineRule="atLeast"/>
        <w:rPr>
          <w:rFonts w:ascii="Verdana" w:hAnsi="Verdana"/>
          <w:sz w:val="18"/>
          <w:szCs w:val="18"/>
          <w:lang w:eastAsia="nl-NL"/>
        </w:rPr>
      </w:pPr>
      <w:r>
        <w:rPr>
          <w:rFonts w:ascii="Verdana" w:hAnsi="Verdana"/>
          <w:sz w:val="18"/>
          <w:szCs w:val="18"/>
          <w:lang w:eastAsia="nl-NL"/>
        </w:rPr>
        <w:t>Binnen d</w:t>
      </w:r>
      <w:r w:rsidRPr="00B1210C">
        <w:rPr>
          <w:rFonts w:ascii="Verdana" w:hAnsi="Verdana"/>
          <w:sz w:val="18"/>
          <w:szCs w:val="18"/>
          <w:lang w:eastAsia="nl-NL"/>
        </w:rPr>
        <w:t xml:space="preserve">e contouren van dit plan en </w:t>
      </w:r>
      <w:r>
        <w:rPr>
          <w:rFonts w:ascii="Verdana" w:hAnsi="Verdana"/>
          <w:sz w:val="18"/>
          <w:szCs w:val="18"/>
          <w:lang w:eastAsia="nl-NL"/>
        </w:rPr>
        <w:t xml:space="preserve">met het oog op </w:t>
      </w:r>
      <w:r w:rsidRPr="00B1210C">
        <w:rPr>
          <w:rFonts w:ascii="Verdana" w:hAnsi="Verdana"/>
          <w:sz w:val="18"/>
          <w:szCs w:val="18"/>
          <w:lang w:eastAsia="nl-NL"/>
        </w:rPr>
        <w:t xml:space="preserve">de komende fusie met de gemeenten Alphen aan den Rijn en Rijnwoude </w:t>
      </w:r>
      <w:r>
        <w:rPr>
          <w:rFonts w:ascii="Verdana" w:hAnsi="Verdana"/>
          <w:sz w:val="18"/>
          <w:szCs w:val="18"/>
          <w:lang w:eastAsia="nl-NL"/>
        </w:rPr>
        <w:t xml:space="preserve">heeft de gemeente, </w:t>
      </w:r>
      <w:r w:rsidRPr="00B1210C">
        <w:rPr>
          <w:rFonts w:ascii="Verdana" w:hAnsi="Verdana"/>
          <w:sz w:val="18"/>
          <w:szCs w:val="18"/>
          <w:lang w:eastAsia="nl-NL"/>
        </w:rPr>
        <w:t>in overleg met de inwoners van Boskoop, de eigenaren van waardevolle gebouwen en de monumentencommissie</w:t>
      </w:r>
      <w:r>
        <w:rPr>
          <w:rFonts w:ascii="Verdana" w:hAnsi="Verdana"/>
          <w:sz w:val="18"/>
          <w:szCs w:val="18"/>
          <w:lang w:eastAsia="nl-NL"/>
        </w:rPr>
        <w:t xml:space="preserve">, de draad op dit beleidsterrein (weer) opgepakt. </w:t>
      </w:r>
    </w:p>
    <w:p w:rsidR="001A7642" w:rsidRDefault="001A7642" w:rsidP="001A7642">
      <w:pPr>
        <w:adjustRightInd w:val="0"/>
        <w:spacing w:line="280" w:lineRule="atLeast"/>
        <w:rPr>
          <w:rFonts w:ascii="Verdana" w:hAnsi="Verdana"/>
          <w:sz w:val="18"/>
          <w:szCs w:val="18"/>
          <w:lang w:eastAsia="nl-NL"/>
        </w:rPr>
      </w:pPr>
      <w:r>
        <w:rPr>
          <w:rFonts w:ascii="Verdana" w:hAnsi="Verdana"/>
          <w:sz w:val="18"/>
          <w:szCs w:val="18"/>
          <w:lang w:eastAsia="nl-NL"/>
        </w:rPr>
        <w:t xml:space="preserve">Als speerpunt is gekozen voor </w:t>
      </w:r>
      <w:r w:rsidRPr="00B1210C">
        <w:rPr>
          <w:rFonts w:ascii="Verdana" w:hAnsi="Verdana"/>
          <w:sz w:val="18"/>
          <w:szCs w:val="18"/>
          <w:lang w:eastAsia="nl-NL"/>
        </w:rPr>
        <w:t xml:space="preserve">een (her)inventarisatie en een waardering van </w:t>
      </w:r>
      <w:r>
        <w:rPr>
          <w:rFonts w:ascii="Verdana" w:hAnsi="Verdana"/>
          <w:sz w:val="18"/>
          <w:szCs w:val="18"/>
          <w:lang w:eastAsia="nl-NL"/>
        </w:rPr>
        <w:t xml:space="preserve">het Boskoops </w:t>
      </w:r>
      <w:r w:rsidRPr="00B1210C">
        <w:rPr>
          <w:rFonts w:ascii="Verdana" w:hAnsi="Verdana"/>
          <w:sz w:val="18"/>
          <w:szCs w:val="18"/>
          <w:lang w:eastAsia="nl-NL"/>
        </w:rPr>
        <w:t>erfgoed</w:t>
      </w:r>
      <w:r>
        <w:rPr>
          <w:rFonts w:ascii="Verdana" w:hAnsi="Verdana"/>
          <w:sz w:val="18"/>
          <w:szCs w:val="18"/>
          <w:lang w:eastAsia="nl-NL"/>
        </w:rPr>
        <w:t xml:space="preserve"> en het aanpakken van enkele concrete zaken. Gekozen is voor het aanwijzen van gemeentelijke monumenten op basis van vrijwilligheid.</w:t>
      </w:r>
      <w:r w:rsidRPr="00B1210C">
        <w:rPr>
          <w:rFonts w:ascii="Verdana" w:hAnsi="Verdana"/>
          <w:sz w:val="18"/>
          <w:szCs w:val="18"/>
          <w:lang w:eastAsia="nl-NL"/>
        </w:rPr>
        <w:t xml:space="preserve"> </w:t>
      </w:r>
      <w:r w:rsidR="005C7507">
        <w:rPr>
          <w:rFonts w:ascii="Verdana" w:hAnsi="Verdana"/>
          <w:sz w:val="18"/>
          <w:szCs w:val="18"/>
          <w:lang w:eastAsia="nl-NL"/>
        </w:rPr>
        <w:t xml:space="preserve">In 2010 is een verordening op de Monumentencommissie vastgesteld en is een </w:t>
      </w:r>
      <w:r w:rsidR="004E07E2">
        <w:rPr>
          <w:rFonts w:ascii="Verdana" w:hAnsi="Verdana"/>
          <w:sz w:val="18"/>
          <w:szCs w:val="18"/>
          <w:lang w:eastAsia="nl-NL"/>
        </w:rPr>
        <w:t>M</w:t>
      </w:r>
      <w:r w:rsidRPr="00B1210C">
        <w:rPr>
          <w:rFonts w:ascii="Verdana" w:hAnsi="Verdana"/>
          <w:sz w:val="18"/>
          <w:szCs w:val="18"/>
          <w:lang w:eastAsia="nl-NL"/>
        </w:rPr>
        <w:t xml:space="preserve">onumentencommissie </w:t>
      </w:r>
      <w:r w:rsidR="005C7507">
        <w:rPr>
          <w:rFonts w:ascii="Verdana" w:hAnsi="Verdana"/>
          <w:sz w:val="18"/>
          <w:szCs w:val="18"/>
          <w:lang w:eastAsia="nl-NL"/>
        </w:rPr>
        <w:t xml:space="preserve">geïnstalleerd. Deze commissie </w:t>
      </w:r>
      <w:r w:rsidRPr="00B1210C">
        <w:rPr>
          <w:rFonts w:ascii="Verdana" w:hAnsi="Verdana"/>
          <w:sz w:val="18"/>
          <w:szCs w:val="18"/>
          <w:lang w:eastAsia="nl-NL"/>
        </w:rPr>
        <w:t>adviseer</w:t>
      </w:r>
      <w:r w:rsidR="00D10F8B">
        <w:rPr>
          <w:rFonts w:ascii="Verdana" w:hAnsi="Verdana"/>
          <w:sz w:val="18"/>
          <w:szCs w:val="18"/>
          <w:lang w:eastAsia="nl-NL"/>
        </w:rPr>
        <w:t>de</w:t>
      </w:r>
      <w:r w:rsidRPr="00B1210C">
        <w:rPr>
          <w:rFonts w:ascii="Verdana" w:hAnsi="Verdana"/>
          <w:sz w:val="18"/>
          <w:szCs w:val="18"/>
          <w:lang w:eastAsia="nl-NL"/>
        </w:rPr>
        <w:t xml:space="preserve"> als onafhankelijke externe adviescommissie over het erfgoed</w:t>
      </w:r>
      <w:r w:rsidR="00D10F8B">
        <w:rPr>
          <w:rFonts w:ascii="Verdana" w:hAnsi="Verdana"/>
          <w:sz w:val="18"/>
          <w:szCs w:val="18"/>
          <w:lang w:eastAsia="nl-NL"/>
        </w:rPr>
        <w:t xml:space="preserve">. De Monumentencommissie is van rechtswege ontbonden (art. 31 Wet </w:t>
      </w:r>
      <w:proofErr w:type="spellStart"/>
      <w:r w:rsidR="00D10F8B">
        <w:rPr>
          <w:rFonts w:ascii="Verdana" w:hAnsi="Verdana"/>
          <w:sz w:val="18"/>
          <w:szCs w:val="18"/>
          <w:lang w:eastAsia="nl-NL"/>
        </w:rPr>
        <w:t>Arhi</w:t>
      </w:r>
      <w:proofErr w:type="spellEnd"/>
      <w:r w:rsidR="00D10F8B">
        <w:rPr>
          <w:rFonts w:ascii="Verdana" w:hAnsi="Verdana"/>
          <w:sz w:val="18"/>
          <w:szCs w:val="18"/>
          <w:lang w:eastAsia="nl-NL"/>
        </w:rPr>
        <w:t>)</w:t>
      </w:r>
      <w:r w:rsidRPr="00B1210C">
        <w:rPr>
          <w:rFonts w:ascii="Verdana" w:hAnsi="Verdana"/>
          <w:sz w:val="18"/>
          <w:szCs w:val="18"/>
          <w:lang w:eastAsia="nl-NL"/>
        </w:rPr>
        <w:t xml:space="preserve">. </w:t>
      </w:r>
      <w:r w:rsidR="005C7507">
        <w:rPr>
          <w:rFonts w:ascii="Verdana" w:hAnsi="Verdana"/>
          <w:sz w:val="18"/>
          <w:szCs w:val="18"/>
          <w:lang w:eastAsia="nl-NL"/>
        </w:rPr>
        <w:t>De gemeente Boskoop beschikt</w:t>
      </w:r>
      <w:r w:rsidR="003535EC">
        <w:rPr>
          <w:rFonts w:ascii="Verdana" w:hAnsi="Verdana"/>
          <w:sz w:val="18"/>
          <w:szCs w:val="18"/>
          <w:lang w:eastAsia="nl-NL"/>
        </w:rPr>
        <w:t>e</w:t>
      </w:r>
      <w:r w:rsidR="005C7507">
        <w:rPr>
          <w:rFonts w:ascii="Verdana" w:hAnsi="Verdana"/>
          <w:sz w:val="18"/>
          <w:szCs w:val="18"/>
          <w:lang w:eastAsia="nl-NL"/>
        </w:rPr>
        <w:t xml:space="preserve"> over 12 rijksmonumenten. Recent zijn daar 9 gemeentelijke monumenten aan toegevoegd. In het totaal zijn er 350 panden/objecten geïnventariseerd die van cultuurhistorische betekenis zijn. Al deze panden/objecten zijn opgenomen in het boekwerk “In Boskoop staat een huis”. De gemeente Boskoop beschikte niet over een </w:t>
      </w:r>
      <w:r w:rsidR="0099113F">
        <w:rPr>
          <w:rFonts w:ascii="Verdana" w:hAnsi="Verdana"/>
          <w:sz w:val="18"/>
          <w:szCs w:val="18"/>
          <w:lang w:eastAsia="nl-NL"/>
        </w:rPr>
        <w:t>M</w:t>
      </w:r>
      <w:r w:rsidR="005C7507">
        <w:rPr>
          <w:rFonts w:ascii="Verdana" w:hAnsi="Verdana"/>
          <w:sz w:val="18"/>
          <w:szCs w:val="18"/>
          <w:lang w:eastAsia="nl-NL"/>
        </w:rPr>
        <w:t>onumentensubsidieverordening</w:t>
      </w:r>
      <w:r w:rsidR="00A0719B">
        <w:rPr>
          <w:rFonts w:ascii="Verdana" w:hAnsi="Verdana"/>
          <w:sz w:val="18"/>
          <w:szCs w:val="18"/>
          <w:lang w:eastAsia="nl-NL"/>
        </w:rPr>
        <w:t>.</w:t>
      </w:r>
      <w:r w:rsidR="005C7507">
        <w:rPr>
          <w:rFonts w:ascii="Verdana" w:hAnsi="Verdana"/>
          <w:sz w:val="18"/>
          <w:szCs w:val="18"/>
          <w:lang w:eastAsia="nl-NL"/>
        </w:rPr>
        <w:t xml:space="preserve"> </w:t>
      </w:r>
    </w:p>
    <w:p w:rsidR="004E07E2" w:rsidRDefault="004E07E2" w:rsidP="004E07E2">
      <w:r>
        <w:t xml:space="preserve">Specifieke zaken die in Boskoop op het gebied van </w:t>
      </w:r>
      <w:r w:rsidR="003535EC">
        <w:t>M</w:t>
      </w:r>
      <w:r>
        <w:t xml:space="preserve">onumentenzorg en </w:t>
      </w:r>
      <w:r w:rsidR="003535EC">
        <w:t>A</w:t>
      </w:r>
      <w:r>
        <w:t>rcheologie spelen  zijn:</w:t>
      </w:r>
    </w:p>
    <w:p w:rsidR="004E07E2" w:rsidRDefault="003535EC" w:rsidP="004E07E2">
      <w:pPr>
        <w:pStyle w:val="Lijstalinea"/>
        <w:numPr>
          <w:ilvl w:val="0"/>
          <w:numId w:val="7"/>
        </w:numPr>
      </w:pPr>
      <w:r>
        <w:t>e</w:t>
      </w:r>
      <w:r w:rsidR="004E07E2">
        <w:t>en verzoek van de Bond Heemschut om 19 panden aan te wijzen als gemeentelijk monument. Tegen een afwijzende beslissing van het college van burgemeester en wethouders van Boskoop loopt thans een bezwaarprocedure;</w:t>
      </w:r>
    </w:p>
    <w:p w:rsidR="001A7642" w:rsidRDefault="003535EC" w:rsidP="001A7642">
      <w:pPr>
        <w:pStyle w:val="Lijstalinea"/>
        <w:numPr>
          <w:ilvl w:val="0"/>
          <w:numId w:val="7"/>
        </w:numPr>
      </w:pPr>
      <w:r>
        <w:t>h</w:t>
      </w:r>
      <w:r w:rsidR="004E07E2">
        <w:t>erbestemming van het voormalige gemeentehuis van Boskoop</w:t>
      </w:r>
      <w:r w:rsidR="0099113F">
        <w:t>.</w:t>
      </w:r>
    </w:p>
    <w:p w:rsidR="00324E05" w:rsidRDefault="00D10F8B" w:rsidP="0059385B">
      <w:pPr>
        <w:pStyle w:val="Lijstalinea"/>
        <w:numPr>
          <w:ilvl w:val="0"/>
          <w:numId w:val="7"/>
        </w:numPr>
      </w:pPr>
      <w:r>
        <w:t>Kwestie watertoren</w:t>
      </w:r>
      <w:r w:rsidR="006B35A7">
        <w:t>, waarbij onder andere een terugvorderingsactie RCE loopt i.v.m. verleende rijkssubsidie en het restauratieproces is verstoord door overlijden eigenaar.</w:t>
      </w:r>
    </w:p>
    <w:p w:rsidR="006B35A7" w:rsidRPr="006B35A7" w:rsidRDefault="006B35A7" w:rsidP="006B35A7">
      <w:pPr>
        <w:pStyle w:val="Lijstalinea"/>
      </w:pPr>
    </w:p>
    <w:p w:rsidR="0099113F" w:rsidRDefault="00981EDA" w:rsidP="00981EDA">
      <w:pPr>
        <w:pStyle w:val="Lijstalinea"/>
        <w:rPr>
          <w:i/>
          <w:u w:val="single"/>
        </w:rPr>
      </w:pPr>
      <w:r w:rsidRPr="00981EDA">
        <w:rPr>
          <w:i/>
          <w:u w:val="single"/>
        </w:rPr>
        <w:t>Rijnwoude</w:t>
      </w:r>
    </w:p>
    <w:p w:rsidR="0001392C" w:rsidRDefault="0099113F" w:rsidP="0099113F">
      <w:r>
        <w:t xml:space="preserve">Op aanbeveling van de Burgerwerkgroep “Monumenten in Rijnwoude” heeft de raad van de voormalige gemeente Rijnwoude in 2011 besloten tot invoering van gemeentelijk monumentenbeleid.  De beleidskaders zijn in 2012 gevormd door de vaststelling van drie nieuw verordeningen: </w:t>
      </w:r>
      <w:r w:rsidR="0001392C">
        <w:t>een Monumentenverordening, een Verordening op de Monumentencommissie en een Subsidieverordening</w:t>
      </w:r>
      <w:r w:rsidR="00116149">
        <w:t>,</w:t>
      </w:r>
      <w:r w:rsidR="0001392C">
        <w:t xml:space="preserve"> gericht op het in stand houden van gemeentelijke monumenten.  In het voorjaar van 2012 is een plaatselijke Monumentencommissie geïnstalleerd.</w:t>
      </w:r>
    </w:p>
    <w:p w:rsidR="00456A71" w:rsidRDefault="00116149" w:rsidP="0099113F">
      <w:r>
        <w:t xml:space="preserve">De Burgerwerkgroep heeft zich belast met het selecteren, beschrijven en voordragen van kandidaat gemeentelijke monumenten e.e.a. in samenwerking met de Vereniging Dorp, Stad &amp; Land. In het totaal zijn 168 panden/complexen geselecteerd, waarbij de doelstelling was daarvan 60 voor bescherming voor te dragen. In 2013 zijn de voordrachten gestart. Tot het moment waarop de gemeentelijke herindeling een feit was zijn er 43 panden/complexen voorgedragen waarvan er 21 definitief zijn aangewezen. </w:t>
      </w:r>
      <w:r w:rsidR="00456A71">
        <w:t xml:space="preserve"> Voor een 9-tal panden geldt dat er voorgenomen besluit tot aanwijzing is genomen, naar aanleiding waarvan in 4 gevallen een zienswijzeprocedure loopt.  Dit impliceert ook dat er voor gekozen is de aanwijzing niet louter op basis van vrijwilligheid te laten plaatsvinden. </w:t>
      </w:r>
    </w:p>
    <w:p w:rsidR="00456A71" w:rsidRDefault="00456A71" w:rsidP="0099113F">
      <w:r>
        <w:t>De focus van de Monumentencommissie is  in 2013 vooral gericht geweest op de advisering ten aanzien van de voordrachten.</w:t>
      </w:r>
      <w:r w:rsidR="00243E17">
        <w:t xml:space="preserve"> Het mandaat van de Monumentencommissie is per 1 januari 2014  verlopen</w:t>
      </w:r>
      <w:r w:rsidR="006B35A7">
        <w:t xml:space="preserve"> (art 31 Wet </w:t>
      </w:r>
      <w:proofErr w:type="spellStart"/>
      <w:r w:rsidR="006B35A7">
        <w:t>Arhi</w:t>
      </w:r>
      <w:proofErr w:type="spellEnd"/>
      <w:r w:rsidR="006B35A7">
        <w:t>)</w:t>
      </w:r>
      <w:r w:rsidR="00243E17">
        <w:t>.</w:t>
      </w:r>
    </w:p>
    <w:p w:rsidR="00456A71" w:rsidRDefault="00456A71" w:rsidP="0099113F">
      <w:r>
        <w:t xml:space="preserve">Naast financiële voordelen voor de eigenaren van gemeentelijke monumenten (instandhoudingsbijdrage en vrijstelling van leges ) is het beleid er op gericht geweest om eigenaren van zowel  rijks- als gemeentelijke monumenten anderszins te faciliteren.  In 2013 zijn daartoe beleidsregels vastgesteld die een planologisch afwijkend gebruik van monumentenpanden mogelijk maken. </w:t>
      </w:r>
      <w:r w:rsidR="00243E17">
        <w:t xml:space="preserve"> </w:t>
      </w:r>
      <w:r>
        <w:t xml:space="preserve">  </w:t>
      </w:r>
    </w:p>
    <w:p w:rsidR="00243E17" w:rsidRDefault="00243E17" w:rsidP="00243E17">
      <w:r w:rsidRPr="00243E17">
        <w:t>Specifieke zaken die in</w:t>
      </w:r>
      <w:r>
        <w:t xml:space="preserve"> Rijnwoude</w:t>
      </w:r>
      <w:r w:rsidRPr="00243E17">
        <w:t xml:space="preserve"> op het gebied van monumentenzorg  spelen  zijn:</w:t>
      </w:r>
    </w:p>
    <w:p w:rsidR="00243E17" w:rsidRDefault="003535EC" w:rsidP="00243E17">
      <w:pPr>
        <w:pStyle w:val="Lijstalinea"/>
        <w:numPr>
          <w:ilvl w:val="0"/>
          <w:numId w:val="7"/>
        </w:numPr>
      </w:pPr>
      <w:r>
        <w:t>l</w:t>
      </w:r>
      <w:r w:rsidR="00243E17">
        <w:t>opende aanwijzingsprocedures (9)</w:t>
      </w:r>
      <w:r>
        <w:t xml:space="preserve">, waarvan </w:t>
      </w:r>
      <w:r w:rsidR="007A504A">
        <w:t>2</w:t>
      </w:r>
      <w:r>
        <w:t xml:space="preserve"> eigenaren een zienswijze hebben ingediend</w:t>
      </w:r>
      <w:r w:rsidR="00243E17">
        <w:t>;</w:t>
      </w:r>
    </w:p>
    <w:p w:rsidR="00243E17" w:rsidRDefault="003535EC" w:rsidP="00243E17">
      <w:pPr>
        <w:pStyle w:val="Lijstalinea"/>
        <w:numPr>
          <w:ilvl w:val="0"/>
          <w:numId w:val="7"/>
        </w:numPr>
      </w:pPr>
      <w:r>
        <w:t>r</w:t>
      </w:r>
      <w:r w:rsidR="00243E17">
        <w:t>esterende voordrachten kandidaat gemeentelijke monumenten (ca. 17)</w:t>
      </w:r>
      <w:r w:rsidR="002D31DF">
        <w:t>;</w:t>
      </w:r>
    </w:p>
    <w:p w:rsidR="00243E17" w:rsidRDefault="003535EC" w:rsidP="00243E17">
      <w:pPr>
        <w:pStyle w:val="Lijstalinea"/>
        <w:numPr>
          <w:ilvl w:val="0"/>
          <w:numId w:val="7"/>
        </w:numPr>
      </w:pPr>
      <w:r>
        <w:t>a</w:t>
      </w:r>
      <w:r w:rsidR="00243E17">
        <w:t>anwijzing beschermde dorpsgezichten (fase 2 doelstelling Burgerwerkgroep)</w:t>
      </w:r>
      <w:r w:rsidR="002D31DF">
        <w:t>;</w:t>
      </w:r>
    </w:p>
    <w:p w:rsidR="00243E17" w:rsidRDefault="003535EC" w:rsidP="00243E17">
      <w:pPr>
        <w:pStyle w:val="Lijstalinea"/>
        <w:numPr>
          <w:ilvl w:val="0"/>
          <w:numId w:val="7"/>
        </w:numPr>
      </w:pPr>
      <w:r>
        <w:t>c</w:t>
      </w:r>
      <w:r w:rsidR="00243E17">
        <w:t>ommunicatie gemeente en eigenaren reeds aangewezen en nog aan te wijzen gemeentelijke monumenten</w:t>
      </w:r>
      <w:r w:rsidR="002D31DF">
        <w:t>;</w:t>
      </w:r>
    </w:p>
    <w:p w:rsidR="005C7507" w:rsidRDefault="003535EC" w:rsidP="002D31DF">
      <w:pPr>
        <w:pStyle w:val="Lijstalinea"/>
        <w:numPr>
          <w:ilvl w:val="0"/>
          <w:numId w:val="7"/>
        </w:numPr>
      </w:pPr>
      <w:r>
        <w:t>e</w:t>
      </w:r>
      <w:r w:rsidR="002D31DF">
        <w:t xml:space="preserve">en brief d.d. 20 januari 2014, ingekomen op 22 januari, waarin de Monumentencommissie Rijnwoude bij  de nieuwe gemeente Alphen aan den Rijn pleit voor  een volwaardig beleid op het gebied </w:t>
      </w:r>
      <w:r>
        <w:t>C</w:t>
      </w:r>
      <w:r w:rsidR="002D31DF">
        <w:t>ultuurhistorie</w:t>
      </w:r>
      <w:r w:rsidR="00A0719B">
        <w:t xml:space="preserve"> en</w:t>
      </w:r>
      <w:r w:rsidR="002D31DF">
        <w:t xml:space="preserve"> </w:t>
      </w:r>
      <w:r>
        <w:t>M</w:t>
      </w:r>
      <w:r w:rsidR="002D31DF">
        <w:t xml:space="preserve">onumenten </w:t>
      </w:r>
      <w:r w:rsidR="00BA0857">
        <w:t xml:space="preserve"> (bijlage)</w:t>
      </w:r>
      <w:r w:rsidR="006B35A7">
        <w:t>;</w:t>
      </w:r>
    </w:p>
    <w:p w:rsidR="00A0719B" w:rsidRDefault="006B35A7" w:rsidP="000A0F89">
      <w:pPr>
        <w:pStyle w:val="Lijstalinea"/>
        <w:numPr>
          <w:ilvl w:val="0"/>
          <w:numId w:val="7"/>
        </w:numPr>
      </w:pPr>
      <w:r>
        <w:t>Herontwikkeling van de voormalige kleiwarenfabriek Nieuw Werklust.</w:t>
      </w:r>
    </w:p>
    <w:p w:rsidR="000A0F89" w:rsidRPr="000A0F89" w:rsidRDefault="000A0F89" w:rsidP="000A0F89">
      <w:pPr>
        <w:pStyle w:val="Lijstalinea"/>
      </w:pPr>
    </w:p>
    <w:p w:rsidR="00981EDA" w:rsidRPr="003535EC" w:rsidRDefault="00C117E6" w:rsidP="003535EC">
      <w:pPr>
        <w:ind w:firstLine="708"/>
        <w:rPr>
          <w:i/>
          <w:u w:val="single"/>
        </w:rPr>
      </w:pPr>
      <w:r w:rsidRPr="003535EC">
        <w:rPr>
          <w:i/>
          <w:u w:val="single"/>
        </w:rPr>
        <w:t>Schematisch</w:t>
      </w:r>
    </w:p>
    <w:p w:rsidR="00324E05" w:rsidRDefault="00C117E6" w:rsidP="003535EC">
      <w:pPr>
        <w:pStyle w:val="Lijstalinea"/>
      </w:pPr>
      <w:r w:rsidRPr="00C117E6">
        <w:t>Schematisch weergegeven is de stand van zaken per 31 december 2013 in de voormalige gemeenten als volgt:</w:t>
      </w: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p w:rsidR="000A0F89" w:rsidRDefault="000A0F89" w:rsidP="003535EC">
      <w:pPr>
        <w:pStyle w:val="Lijstalinea"/>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3100"/>
        <w:gridCol w:w="3000"/>
      </w:tblGrid>
      <w:tr w:rsidR="00C117E6" w:rsidRPr="00222D72" w:rsidTr="001C4882">
        <w:trPr>
          <w:trHeight w:val="70"/>
        </w:trPr>
        <w:tc>
          <w:tcPr>
            <w:tcW w:w="2900" w:type="dxa"/>
            <w:tcBorders>
              <w:top w:val="single" w:sz="4" w:space="0" w:color="auto"/>
              <w:left w:val="single" w:sz="4" w:space="0" w:color="auto"/>
              <w:bottom w:val="single" w:sz="4" w:space="0" w:color="auto"/>
              <w:right w:val="single" w:sz="4" w:space="0" w:color="auto"/>
            </w:tcBorders>
          </w:tcPr>
          <w:p w:rsidR="00C117E6" w:rsidRPr="00222D72" w:rsidRDefault="00C117E6" w:rsidP="00F56FB2">
            <w:pPr>
              <w:tabs>
                <w:tab w:val="left" w:pos="708"/>
              </w:tabs>
              <w:adjustRightInd w:val="0"/>
              <w:rPr>
                <w:rFonts w:ascii="Verdana" w:hAnsi="Verdana"/>
                <w:b/>
                <w:sz w:val="16"/>
                <w:szCs w:val="16"/>
              </w:rPr>
            </w:pPr>
            <w:r w:rsidRPr="00222D72">
              <w:rPr>
                <w:rFonts w:ascii="Verdana" w:hAnsi="Verdana"/>
                <w:b/>
                <w:sz w:val="16"/>
                <w:szCs w:val="16"/>
              </w:rPr>
              <w:t>Alphen aan den Rijn</w:t>
            </w:r>
          </w:p>
          <w:p w:rsidR="00C117E6" w:rsidRDefault="00C117E6" w:rsidP="00C117E6">
            <w:pPr>
              <w:numPr>
                <w:ilvl w:val="0"/>
                <w:numId w:val="3"/>
              </w:numPr>
              <w:tabs>
                <w:tab w:val="right" w:pos="9072"/>
              </w:tabs>
              <w:adjustRightInd w:val="0"/>
              <w:spacing w:after="0"/>
              <w:rPr>
                <w:rFonts w:ascii="Verdana" w:hAnsi="Verdana"/>
                <w:sz w:val="16"/>
                <w:szCs w:val="16"/>
              </w:rPr>
            </w:pPr>
            <w:r w:rsidRPr="00222D72">
              <w:rPr>
                <w:rFonts w:ascii="Verdana" w:hAnsi="Verdana"/>
                <w:sz w:val="16"/>
                <w:szCs w:val="16"/>
              </w:rPr>
              <w:t>Beleidsnota</w:t>
            </w:r>
            <w:r w:rsidR="001A7642">
              <w:rPr>
                <w:rFonts w:ascii="Verdana" w:hAnsi="Verdana"/>
                <w:sz w:val="16"/>
                <w:szCs w:val="16"/>
              </w:rPr>
              <w:t xml:space="preserve"> (2002)</w:t>
            </w:r>
          </w:p>
          <w:p w:rsidR="005C0789" w:rsidRDefault="005C0789" w:rsidP="005C0789">
            <w:pPr>
              <w:tabs>
                <w:tab w:val="right" w:pos="9072"/>
              </w:tabs>
              <w:adjustRightInd w:val="0"/>
              <w:spacing w:after="0"/>
              <w:ind w:left="360"/>
              <w:rPr>
                <w:rFonts w:ascii="Verdana" w:hAnsi="Verdana"/>
                <w:sz w:val="16"/>
                <w:szCs w:val="16"/>
              </w:rPr>
            </w:pPr>
          </w:p>
          <w:p w:rsidR="005C0789" w:rsidRDefault="005C0789" w:rsidP="005C0789">
            <w:pPr>
              <w:tabs>
                <w:tab w:val="right" w:pos="9072"/>
              </w:tabs>
              <w:adjustRightInd w:val="0"/>
              <w:spacing w:after="0"/>
              <w:ind w:left="360"/>
              <w:rPr>
                <w:rFonts w:ascii="Verdana" w:hAnsi="Verdana"/>
                <w:sz w:val="16"/>
                <w:szCs w:val="16"/>
              </w:rPr>
            </w:pPr>
          </w:p>
          <w:p w:rsidR="005C0789" w:rsidRDefault="005C0789" w:rsidP="00C117E6">
            <w:pPr>
              <w:numPr>
                <w:ilvl w:val="0"/>
                <w:numId w:val="3"/>
              </w:numPr>
              <w:tabs>
                <w:tab w:val="right" w:pos="9072"/>
              </w:tabs>
              <w:adjustRightInd w:val="0"/>
              <w:spacing w:after="0"/>
              <w:rPr>
                <w:rFonts w:ascii="Verdana" w:hAnsi="Verdana"/>
                <w:sz w:val="16"/>
                <w:szCs w:val="16"/>
              </w:rPr>
            </w:pPr>
            <w:r>
              <w:rPr>
                <w:rFonts w:ascii="Verdana" w:hAnsi="Verdana"/>
                <w:sz w:val="16"/>
                <w:szCs w:val="16"/>
              </w:rPr>
              <w:t>Monumentenverordening</w:t>
            </w:r>
          </w:p>
          <w:p w:rsidR="002D4DB1" w:rsidRDefault="002D4DB1" w:rsidP="002D4DB1">
            <w:pPr>
              <w:tabs>
                <w:tab w:val="right" w:pos="9072"/>
              </w:tabs>
              <w:adjustRightInd w:val="0"/>
              <w:spacing w:after="0"/>
              <w:ind w:left="360"/>
              <w:rPr>
                <w:rFonts w:ascii="Verdana" w:hAnsi="Verdana"/>
                <w:sz w:val="16"/>
                <w:szCs w:val="16"/>
              </w:rPr>
            </w:pPr>
          </w:p>
          <w:p w:rsidR="00105816" w:rsidRDefault="00105816" w:rsidP="002D4DB1">
            <w:pPr>
              <w:tabs>
                <w:tab w:val="right" w:pos="9072"/>
              </w:tabs>
              <w:adjustRightInd w:val="0"/>
              <w:spacing w:after="0"/>
              <w:ind w:left="360"/>
              <w:rPr>
                <w:rFonts w:ascii="Verdana" w:hAnsi="Verdana"/>
                <w:sz w:val="16"/>
                <w:szCs w:val="16"/>
              </w:rPr>
            </w:pPr>
          </w:p>
          <w:p w:rsidR="005C0789" w:rsidRDefault="002D4DB1" w:rsidP="00C117E6">
            <w:pPr>
              <w:numPr>
                <w:ilvl w:val="0"/>
                <w:numId w:val="3"/>
              </w:numPr>
              <w:tabs>
                <w:tab w:val="right" w:pos="9072"/>
              </w:tabs>
              <w:adjustRightInd w:val="0"/>
              <w:spacing w:after="0"/>
              <w:rPr>
                <w:rFonts w:ascii="Verdana" w:hAnsi="Verdana"/>
                <w:sz w:val="16"/>
                <w:szCs w:val="16"/>
              </w:rPr>
            </w:pPr>
            <w:r>
              <w:rPr>
                <w:rFonts w:ascii="Verdana" w:hAnsi="Verdana"/>
                <w:sz w:val="16"/>
                <w:szCs w:val="16"/>
              </w:rPr>
              <w:t>Subsidieverordening</w:t>
            </w:r>
          </w:p>
          <w:p w:rsidR="002D4DB1" w:rsidRDefault="002D4DB1" w:rsidP="002D4DB1">
            <w:pPr>
              <w:tabs>
                <w:tab w:val="right" w:pos="9072"/>
              </w:tabs>
              <w:adjustRightInd w:val="0"/>
              <w:spacing w:after="0"/>
              <w:ind w:left="360"/>
              <w:rPr>
                <w:rFonts w:ascii="Verdana" w:hAnsi="Verdana"/>
                <w:sz w:val="16"/>
                <w:szCs w:val="16"/>
              </w:rPr>
            </w:pPr>
            <w:r>
              <w:rPr>
                <w:rFonts w:ascii="Verdana" w:hAnsi="Verdana"/>
                <w:sz w:val="16"/>
                <w:szCs w:val="16"/>
              </w:rPr>
              <w:t>Subsidieplafond : € 0</w:t>
            </w:r>
          </w:p>
          <w:p w:rsidR="00D97C60" w:rsidRDefault="00D97C60" w:rsidP="00D97C60">
            <w:pPr>
              <w:tabs>
                <w:tab w:val="right" w:pos="9072"/>
              </w:tabs>
              <w:adjustRightInd w:val="0"/>
              <w:spacing w:after="0"/>
              <w:ind w:left="360"/>
              <w:rPr>
                <w:rFonts w:ascii="Verdana" w:hAnsi="Verdana"/>
                <w:sz w:val="16"/>
                <w:szCs w:val="16"/>
              </w:rPr>
            </w:pPr>
          </w:p>
          <w:p w:rsidR="00D97C60" w:rsidRPr="00222D72" w:rsidRDefault="00D97C60" w:rsidP="00D97C60">
            <w:pPr>
              <w:tabs>
                <w:tab w:val="right" w:pos="9072"/>
              </w:tabs>
              <w:adjustRightInd w:val="0"/>
              <w:spacing w:after="0"/>
              <w:ind w:left="360"/>
              <w:rPr>
                <w:rFonts w:ascii="Verdana" w:hAnsi="Verdana"/>
                <w:sz w:val="16"/>
                <w:szCs w:val="16"/>
              </w:rPr>
            </w:pPr>
          </w:p>
          <w:p w:rsidR="00C117E6" w:rsidRDefault="00C117E6" w:rsidP="00C117E6">
            <w:pPr>
              <w:numPr>
                <w:ilvl w:val="0"/>
                <w:numId w:val="3"/>
              </w:numPr>
              <w:tabs>
                <w:tab w:val="right" w:pos="9072"/>
              </w:tabs>
              <w:adjustRightInd w:val="0"/>
              <w:spacing w:after="0"/>
              <w:rPr>
                <w:rFonts w:ascii="Verdana" w:hAnsi="Verdana"/>
                <w:sz w:val="16"/>
                <w:szCs w:val="16"/>
              </w:rPr>
            </w:pPr>
            <w:r w:rsidRPr="00222D72">
              <w:rPr>
                <w:rFonts w:ascii="Verdana" w:hAnsi="Verdana"/>
                <w:sz w:val="16"/>
                <w:szCs w:val="16"/>
              </w:rPr>
              <w:t>Monumentencommissie</w:t>
            </w:r>
            <w:r w:rsidR="002D4DB1">
              <w:rPr>
                <w:rFonts w:ascii="Verdana" w:hAnsi="Verdana"/>
                <w:sz w:val="16"/>
                <w:szCs w:val="16"/>
              </w:rPr>
              <w:t>, incl. verordening</w:t>
            </w:r>
          </w:p>
          <w:p w:rsidR="00D97C60" w:rsidRPr="00222D72" w:rsidRDefault="00D97C60" w:rsidP="00D97C60">
            <w:pPr>
              <w:tabs>
                <w:tab w:val="right" w:pos="9072"/>
              </w:tabs>
              <w:adjustRightInd w:val="0"/>
              <w:spacing w:after="0"/>
              <w:ind w:left="360"/>
              <w:rPr>
                <w:rFonts w:ascii="Verdana" w:hAnsi="Verdana"/>
                <w:sz w:val="16"/>
                <w:szCs w:val="16"/>
              </w:rPr>
            </w:pPr>
          </w:p>
          <w:p w:rsidR="00C117E6" w:rsidRDefault="00C117E6" w:rsidP="00C117E6">
            <w:pPr>
              <w:numPr>
                <w:ilvl w:val="0"/>
                <w:numId w:val="3"/>
              </w:numPr>
              <w:tabs>
                <w:tab w:val="right" w:pos="9072"/>
              </w:tabs>
              <w:adjustRightInd w:val="0"/>
              <w:spacing w:after="0"/>
              <w:rPr>
                <w:rFonts w:ascii="Verdana" w:hAnsi="Verdana"/>
                <w:sz w:val="16"/>
                <w:szCs w:val="16"/>
              </w:rPr>
            </w:pPr>
            <w:r w:rsidRPr="00222D72">
              <w:rPr>
                <w:rFonts w:ascii="Verdana" w:hAnsi="Verdana"/>
                <w:sz w:val="16"/>
                <w:szCs w:val="16"/>
              </w:rPr>
              <w:t>74 inschrijvingen in het rijksmonumentenregister</w:t>
            </w:r>
          </w:p>
          <w:p w:rsidR="00D97C60" w:rsidRPr="00222D72" w:rsidRDefault="00D97C60" w:rsidP="00D97C60">
            <w:pPr>
              <w:tabs>
                <w:tab w:val="right" w:pos="9072"/>
              </w:tabs>
              <w:adjustRightInd w:val="0"/>
              <w:spacing w:after="0"/>
              <w:rPr>
                <w:rFonts w:ascii="Verdana" w:hAnsi="Verdana"/>
                <w:sz w:val="16"/>
                <w:szCs w:val="16"/>
              </w:rPr>
            </w:pPr>
          </w:p>
          <w:p w:rsidR="00CC48CA" w:rsidRPr="00CC48CA" w:rsidRDefault="00C117E6" w:rsidP="00CC48CA">
            <w:pPr>
              <w:numPr>
                <w:ilvl w:val="0"/>
                <w:numId w:val="3"/>
              </w:numPr>
              <w:tabs>
                <w:tab w:val="right" w:pos="9072"/>
              </w:tabs>
              <w:adjustRightInd w:val="0"/>
              <w:spacing w:after="0"/>
              <w:rPr>
                <w:rFonts w:ascii="Verdana" w:hAnsi="Verdana"/>
                <w:sz w:val="16"/>
                <w:szCs w:val="16"/>
              </w:rPr>
            </w:pPr>
            <w:r w:rsidRPr="00222D72">
              <w:rPr>
                <w:rFonts w:ascii="Verdana" w:hAnsi="Verdana"/>
                <w:sz w:val="16"/>
                <w:szCs w:val="16"/>
              </w:rPr>
              <w:t>65 gemeentelijke monumenten</w:t>
            </w:r>
          </w:p>
          <w:p w:rsidR="00D97C60" w:rsidRDefault="00D97C60" w:rsidP="00D97C60">
            <w:pPr>
              <w:tabs>
                <w:tab w:val="right" w:pos="9072"/>
              </w:tabs>
              <w:adjustRightInd w:val="0"/>
              <w:spacing w:after="0"/>
              <w:rPr>
                <w:rFonts w:ascii="Verdana" w:hAnsi="Verdana"/>
                <w:sz w:val="16"/>
                <w:szCs w:val="16"/>
              </w:rPr>
            </w:pPr>
          </w:p>
          <w:p w:rsidR="00D97C60" w:rsidRDefault="00D97C60" w:rsidP="00D97C60">
            <w:pPr>
              <w:tabs>
                <w:tab w:val="right" w:pos="9072"/>
              </w:tabs>
              <w:adjustRightInd w:val="0"/>
              <w:spacing w:after="0"/>
              <w:rPr>
                <w:rFonts w:ascii="Verdana" w:hAnsi="Verdana"/>
                <w:sz w:val="16"/>
                <w:szCs w:val="16"/>
              </w:rPr>
            </w:pPr>
          </w:p>
          <w:p w:rsidR="00D97C60" w:rsidRDefault="00D97C60" w:rsidP="00D97C60">
            <w:pPr>
              <w:tabs>
                <w:tab w:val="right" w:pos="9072"/>
              </w:tabs>
              <w:adjustRightInd w:val="0"/>
              <w:spacing w:after="0"/>
              <w:rPr>
                <w:rFonts w:ascii="Verdana" w:hAnsi="Verdana"/>
                <w:sz w:val="16"/>
                <w:szCs w:val="16"/>
              </w:rPr>
            </w:pPr>
          </w:p>
          <w:p w:rsidR="00D97C60" w:rsidRDefault="00D97C60" w:rsidP="00D97C60">
            <w:pPr>
              <w:tabs>
                <w:tab w:val="right" w:pos="9072"/>
              </w:tabs>
              <w:adjustRightInd w:val="0"/>
              <w:spacing w:after="0"/>
              <w:rPr>
                <w:rFonts w:ascii="Verdana" w:hAnsi="Verdana"/>
                <w:sz w:val="16"/>
                <w:szCs w:val="16"/>
              </w:rPr>
            </w:pPr>
          </w:p>
          <w:p w:rsidR="00D97C60" w:rsidRPr="00222D72" w:rsidRDefault="00D97C60" w:rsidP="00D97C60">
            <w:pPr>
              <w:tabs>
                <w:tab w:val="right" w:pos="9072"/>
              </w:tabs>
              <w:adjustRightInd w:val="0"/>
              <w:spacing w:after="0"/>
              <w:rPr>
                <w:rFonts w:ascii="Verdana" w:hAnsi="Verdana"/>
                <w:sz w:val="16"/>
                <w:szCs w:val="16"/>
              </w:rPr>
            </w:pPr>
          </w:p>
          <w:p w:rsidR="00D97C60" w:rsidRPr="003F3F1C" w:rsidRDefault="00D97C60" w:rsidP="00D97C60">
            <w:pPr>
              <w:tabs>
                <w:tab w:val="left" w:pos="708"/>
                <w:tab w:val="right" w:pos="9072"/>
              </w:tabs>
              <w:adjustRightInd w:val="0"/>
              <w:spacing w:after="0"/>
              <w:rPr>
                <w:rFonts w:ascii="Verdana" w:hAnsi="Verdana"/>
                <w:sz w:val="16"/>
                <w:szCs w:val="16"/>
                <w:lang w:val="en-US"/>
              </w:rPr>
            </w:pPr>
          </w:p>
          <w:p w:rsidR="00D97C60" w:rsidRPr="00222D72" w:rsidRDefault="00D97C60" w:rsidP="00D97C60">
            <w:pPr>
              <w:tabs>
                <w:tab w:val="left" w:pos="708"/>
                <w:tab w:val="right" w:pos="9072"/>
              </w:tabs>
              <w:adjustRightInd w:val="0"/>
              <w:spacing w:after="0"/>
              <w:rPr>
                <w:rFonts w:ascii="Verdana" w:hAnsi="Verdana"/>
                <w:sz w:val="16"/>
                <w:szCs w:val="16"/>
                <w:lang w:val="en-GB"/>
              </w:rPr>
            </w:pPr>
          </w:p>
          <w:p w:rsidR="005C0789" w:rsidRDefault="00C117E6" w:rsidP="00C117E6">
            <w:pPr>
              <w:numPr>
                <w:ilvl w:val="0"/>
                <w:numId w:val="3"/>
              </w:numPr>
              <w:tabs>
                <w:tab w:val="left" w:pos="708"/>
                <w:tab w:val="right" w:pos="9072"/>
              </w:tabs>
              <w:adjustRightInd w:val="0"/>
              <w:spacing w:after="0"/>
              <w:rPr>
                <w:rFonts w:ascii="Verdana" w:hAnsi="Verdana"/>
                <w:sz w:val="16"/>
                <w:szCs w:val="16"/>
                <w:lang w:val="en-GB"/>
              </w:rPr>
            </w:pPr>
            <w:proofErr w:type="spellStart"/>
            <w:r>
              <w:rPr>
                <w:rFonts w:ascii="Verdana" w:hAnsi="Verdana"/>
                <w:sz w:val="16"/>
                <w:szCs w:val="16"/>
                <w:lang w:val="en-GB"/>
              </w:rPr>
              <w:t>Geen</w:t>
            </w:r>
            <w:proofErr w:type="spellEnd"/>
            <w:r>
              <w:rPr>
                <w:rFonts w:ascii="Verdana" w:hAnsi="Verdana"/>
                <w:sz w:val="16"/>
                <w:szCs w:val="16"/>
                <w:lang w:val="en-GB"/>
              </w:rPr>
              <w:t xml:space="preserve"> b</w:t>
            </w:r>
            <w:r w:rsidRPr="00222D72">
              <w:rPr>
                <w:rFonts w:ascii="Verdana" w:hAnsi="Verdana"/>
                <w:sz w:val="16"/>
                <w:szCs w:val="16"/>
                <w:lang w:val="en-GB"/>
              </w:rPr>
              <w:t>udget 2013</w:t>
            </w:r>
          </w:p>
          <w:p w:rsidR="005C0789" w:rsidRDefault="005C0789" w:rsidP="005C0789">
            <w:pPr>
              <w:pStyle w:val="Lijstalinea"/>
              <w:rPr>
                <w:rFonts w:ascii="Verdana" w:hAnsi="Verdana"/>
                <w:sz w:val="16"/>
                <w:szCs w:val="16"/>
                <w:lang w:val="en-GB"/>
              </w:rPr>
            </w:pPr>
          </w:p>
          <w:p w:rsidR="00324E05" w:rsidRDefault="00324E05" w:rsidP="00324E05">
            <w:pPr>
              <w:tabs>
                <w:tab w:val="left" w:pos="708"/>
                <w:tab w:val="right" w:pos="9072"/>
              </w:tabs>
              <w:adjustRightInd w:val="0"/>
              <w:spacing w:after="0"/>
              <w:rPr>
                <w:rFonts w:ascii="Verdana" w:hAnsi="Verdana"/>
                <w:sz w:val="16"/>
                <w:szCs w:val="16"/>
                <w:lang w:val="en-GB"/>
              </w:rPr>
            </w:pPr>
          </w:p>
          <w:p w:rsidR="00324E05" w:rsidRDefault="00324E05" w:rsidP="00324E05">
            <w:pPr>
              <w:tabs>
                <w:tab w:val="left" w:pos="708"/>
                <w:tab w:val="right" w:pos="9072"/>
              </w:tabs>
              <w:adjustRightInd w:val="0"/>
              <w:spacing w:after="0"/>
              <w:rPr>
                <w:rFonts w:ascii="Verdana" w:hAnsi="Verdana"/>
                <w:sz w:val="16"/>
                <w:szCs w:val="16"/>
                <w:lang w:val="en-GB"/>
              </w:rPr>
            </w:pPr>
          </w:p>
          <w:p w:rsidR="00324E05" w:rsidRDefault="00324E05" w:rsidP="00324E05">
            <w:pPr>
              <w:tabs>
                <w:tab w:val="left" w:pos="708"/>
                <w:tab w:val="right" w:pos="9072"/>
              </w:tabs>
              <w:adjustRightInd w:val="0"/>
              <w:spacing w:after="0"/>
              <w:rPr>
                <w:rFonts w:ascii="Verdana" w:hAnsi="Verdana"/>
                <w:sz w:val="16"/>
                <w:szCs w:val="16"/>
                <w:lang w:val="en-GB"/>
              </w:rPr>
            </w:pPr>
          </w:p>
          <w:p w:rsidR="00324E05" w:rsidRDefault="00324E05" w:rsidP="00324E05">
            <w:pPr>
              <w:tabs>
                <w:tab w:val="left" w:pos="708"/>
                <w:tab w:val="right" w:pos="9072"/>
              </w:tabs>
              <w:adjustRightInd w:val="0"/>
              <w:spacing w:after="0"/>
              <w:rPr>
                <w:rFonts w:ascii="Verdana" w:hAnsi="Verdana"/>
                <w:sz w:val="16"/>
                <w:szCs w:val="16"/>
                <w:lang w:val="en-GB"/>
              </w:rPr>
            </w:pPr>
          </w:p>
          <w:p w:rsidR="00324E05" w:rsidRDefault="00324E05" w:rsidP="00324E05">
            <w:pPr>
              <w:tabs>
                <w:tab w:val="left" w:pos="708"/>
                <w:tab w:val="right" w:pos="9072"/>
              </w:tabs>
              <w:adjustRightInd w:val="0"/>
              <w:spacing w:after="0"/>
              <w:rPr>
                <w:rFonts w:ascii="Verdana" w:hAnsi="Verdana"/>
                <w:sz w:val="16"/>
                <w:szCs w:val="16"/>
                <w:lang w:val="en-GB"/>
              </w:rPr>
            </w:pPr>
          </w:p>
          <w:p w:rsidR="00324E05" w:rsidRDefault="00324E05" w:rsidP="00324E05">
            <w:pPr>
              <w:tabs>
                <w:tab w:val="left" w:pos="708"/>
                <w:tab w:val="right" w:pos="9072"/>
              </w:tabs>
              <w:adjustRightInd w:val="0"/>
              <w:spacing w:after="0"/>
              <w:rPr>
                <w:rFonts w:ascii="Verdana" w:hAnsi="Verdana"/>
                <w:sz w:val="16"/>
                <w:szCs w:val="16"/>
                <w:lang w:val="en-GB"/>
              </w:rPr>
            </w:pPr>
          </w:p>
          <w:p w:rsidR="00324E05" w:rsidRPr="00324E05" w:rsidRDefault="00324E05" w:rsidP="00324E05">
            <w:pPr>
              <w:tabs>
                <w:tab w:val="left" w:pos="708"/>
                <w:tab w:val="right" w:pos="9072"/>
              </w:tabs>
              <w:adjustRightInd w:val="0"/>
              <w:spacing w:after="0"/>
              <w:rPr>
                <w:rFonts w:ascii="Verdana" w:hAnsi="Verdana"/>
                <w:sz w:val="16"/>
                <w:szCs w:val="16"/>
                <w:lang w:val="en-GB"/>
              </w:rPr>
            </w:pPr>
          </w:p>
          <w:p w:rsidR="00324E05" w:rsidRDefault="00324E05" w:rsidP="00324E05">
            <w:pPr>
              <w:pStyle w:val="Lijstalinea"/>
              <w:rPr>
                <w:rFonts w:ascii="Verdana" w:hAnsi="Verdana"/>
                <w:sz w:val="16"/>
                <w:szCs w:val="16"/>
                <w:lang w:val="en-GB"/>
              </w:rPr>
            </w:pPr>
          </w:p>
          <w:p w:rsidR="006B35A7" w:rsidRDefault="006B35A7" w:rsidP="00A11BA7">
            <w:pPr>
              <w:tabs>
                <w:tab w:val="left" w:pos="708"/>
                <w:tab w:val="right" w:pos="9072"/>
              </w:tabs>
              <w:adjustRightInd w:val="0"/>
              <w:spacing w:after="0"/>
              <w:rPr>
                <w:rFonts w:ascii="Verdana" w:hAnsi="Verdana"/>
                <w:sz w:val="16"/>
                <w:szCs w:val="16"/>
              </w:rPr>
            </w:pPr>
          </w:p>
          <w:p w:rsidR="006B35A7" w:rsidRDefault="006B35A7" w:rsidP="006B35A7">
            <w:pPr>
              <w:tabs>
                <w:tab w:val="left" w:pos="708"/>
                <w:tab w:val="right" w:pos="9072"/>
              </w:tabs>
              <w:adjustRightInd w:val="0"/>
              <w:spacing w:after="0"/>
              <w:ind w:left="360"/>
              <w:rPr>
                <w:rFonts w:ascii="Verdana" w:hAnsi="Verdana"/>
                <w:sz w:val="16"/>
                <w:szCs w:val="16"/>
              </w:rPr>
            </w:pPr>
          </w:p>
          <w:p w:rsidR="00DC0365" w:rsidRPr="00222D72" w:rsidRDefault="00324E05" w:rsidP="00324E05">
            <w:pPr>
              <w:tabs>
                <w:tab w:val="left" w:pos="708"/>
              </w:tabs>
              <w:adjustRightInd w:val="0"/>
              <w:rPr>
                <w:rFonts w:ascii="Verdana" w:hAnsi="Verdana"/>
                <w:sz w:val="16"/>
                <w:szCs w:val="16"/>
              </w:rPr>
            </w:pPr>
            <w:r>
              <w:rPr>
                <w:rFonts w:ascii="Verdana" w:hAnsi="Verdana"/>
                <w:sz w:val="16"/>
                <w:szCs w:val="16"/>
              </w:rPr>
              <w:t xml:space="preserve">    </w:t>
            </w:r>
          </w:p>
        </w:tc>
        <w:tc>
          <w:tcPr>
            <w:tcW w:w="3100" w:type="dxa"/>
            <w:tcBorders>
              <w:top w:val="single" w:sz="4" w:space="0" w:color="auto"/>
              <w:left w:val="single" w:sz="4" w:space="0" w:color="auto"/>
              <w:bottom w:val="single" w:sz="4" w:space="0" w:color="auto"/>
              <w:right w:val="single" w:sz="4" w:space="0" w:color="auto"/>
            </w:tcBorders>
          </w:tcPr>
          <w:p w:rsidR="00C117E6" w:rsidRPr="00222D72" w:rsidRDefault="00C117E6" w:rsidP="00F56FB2">
            <w:pPr>
              <w:tabs>
                <w:tab w:val="left" w:pos="708"/>
              </w:tabs>
              <w:adjustRightInd w:val="0"/>
              <w:rPr>
                <w:rFonts w:ascii="Verdana" w:hAnsi="Verdana"/>
                <w:b/>
                <w:sz w:val="16"/>
                <w:szCs w:val="16"/>
              </w:rPr>
            </w:pPr>
            <w:r w:rsidRPr="00222D72">
              <w:rPr>
                <w:rFonts w:ascii="Verdana" w:hAnsi="Verdana"/>
                <w:b/>
                <w:sz w:val="16"/>
                <w:szCs w:val="16"/>
              </w:rPr>
              <w:t xml:space="preserve">Boskoop </w:t>
            </w:r>
          </w:p>
          <w:p w:rsidR="00C117E6" w:rsidRDefault="00C117E6" w:rsidP="00C117E6">
            <w:pPr>
              <w:numPr>
                <w:ilvl w:val="0"/>
                <w:numId w:val="4"/>
              </w:numPr>
              <w:tabs>
                <w:tab w:val="right" w:pos="9072"/>
              </w:tabs>
              <w:adjustRightInd w:val="0"/>
              <w:spacing w:after="0"/>
              <w:rPr>
                <w:rFonts w:ascii="Verdana" w:hAnsi="Verdana"/>
                <w:sz w:val="16"/>
                <w:szCs w:val="16"/>
              </w:rPr>
            </w:pPr>
            <w:r>
              <w:rPr>
                <w:rFonts w:ascii="Verdana" w:hAnsi="Verdana"/>
                <w:sz w:val="16"/>
                <w:szCs w:val="16"/>
              </w:rPr>
              <w:t>Beleidsnot</w:t>
            </w:r>
            <w:r w:rsidR="00D97C60">
              <w:rPr>
                <w:rFonts w:ascii="Verdana" w:hAnsi="Verdana"/>
                <w:sz w:val="16"/>
                <w:szCs w:val="16"/>
              </w:rPr>
              <w:t>a</w:t>
            </w:r>
            <w:r w:rsidR="007711E6">
              <w:rPr>
                <w:rFonts w:ascii="Verdana" w:hAnsi="Verdana"/>
                <w:sz w:val="16"/>
                <w:szCs w:val="16"/>
              </w:rPr>
              <w:t xml:space="preserve"> (201</w:t>
            </w:r>
            <w:r w:rsidR="00105816">
              <w:rPr>
                <w:rFonts w:ascii="Verdana" w:hAnsi="Verdana"/>
                <w:sz w:val="16"/>
                <w:szCs w:val="16"/>
              </w:rPr>
              <w:t>2</w:t>
            </w:r>
            <w:r w:rsidR="007711E6">
              <w:rPr>
                <w:rFonts w:ascii="Verdana" w:hAnsi="Verdana"/>
                <w:sz w:val="16"/>
                <w:szCs w:val="16"/>
              </w:rPr>
              <w:t>)</w:t>
            </w:r>
          </w:p>
          <w:p w:rsidR="005C0789" w:rsidRDefault="005C0789" w:rsidP="005C0789">
            <w:pPr>
              <w:tabs>
                <w:tab w:val="right" w:pos="9072"/>
              </w:tabs>
              <w:adjustRightInd w:val="0"/>
              <w:spacing w:after="0"/>
              <w:rPr>
                <w:rFonts w:ascii="Verdana" w:hAnsi="Verdana"/>
                <w:sz w:val="16"/>
                <w:szCs w:val="16"/>
              </w:rPr>
            </w:pPr>
          </w:p>
          <w:p w:rsidR="005C0789" w:rsidRDefault="005C0789" w:rsidP="005C0789">
            <w:pPr>
              <w:tabs>
                <w:tab w:val="right" w:pos="9072"/>
              </w:tabs>
              <w:adjustRightInd w:val="0"/>
              <w:spacing w:after="0"/>
              <w:rPr>
                <w:rFonts w:ascii="Verdana" w:hAnsi="Verdana"/>
                <w:sz w:val="16"/>
                <w:szCs w:val="16"/>
              </w:rPr>
            </w:pPr>
          </w:p>
          <w:p w:rsidR="005C0789" w:rsidRDefault="005C0789" w:rsidP="00C117E6">
            <w:pPr>
              <w:numPr>
                <w:ilvl w:val="0"/>
                <w:numId w:val="4"/>
              </w:numPr>
              <w:tabs>
                <w:tab w:val="right" w:pos="9072"/>
              </w:tabs>
              <w:adjustRightInd w:val="0"/>
              <w:spacing w:after="0"/>
              <w:rPr>
                <w:rFonts w:ascii="Verdana" w:hAnsi="Verdana"/>
                <w:sz w:val="16"/>
                <w:szCs w:val="16"/>
              </w:rPr>
            </w:pPr>
            <w:r>
              <w:rPr>
                <w:rFonts w:ascii="Verdana" w:hAnsi="Verdana"/>
                <w:sz w:val="16"/>
                <w:szCs w:val="16"/>
              </w:rPr>
              <w:t>Monumentenverordening</w:t>
            </w:r>
            <w:r w:rsidR="007711E6">
              <w:rPr>
                <w:rFonts w:ascii="Verdana" w:hAnsi="Verdana"/>
                <w:sz w:val="16"/>
                <w:szCs w:val="16"/>
              </w:rPr>
              <w:t xml:space="preserve"> (2010)</w:t>
            </w:r>
          </w:p>
          <w:p w:rsidR="002D4DB1" w:rsidRDefault="002D4DB1" w:rsidP="007711E6">
            <w:pPr>
              <w:tabs>
                <w:tab w:val="right" w:pos="9072"/>
              </w:tabs>
              <w:adjustRightInd w:val="0"/>
              <w:spacing w:after="0"/>
              <w:rPr>
                <w:rFonts w:ascii="Verdana" w:hAnsi="Verdana"/>
                <w:sz w:val="16"/>
                <w:szCs w:val="16"/>
              </w:rPr>
            </w:pPr>
          </w:p>
          <w:p w:rsidR="002D4DB1" w:rsidRDefault="002D4DB1" w:rsidP="00C117E6">
            <w:pPr>
              <w:numPr>
                <w:ilvl w:val="0"/>
                <w:numId w:val="4"/>
              </w:numPr>
              <w:tabs>
                <w:tab w:val="right" w:pos="9072"/>
              </w:tabs>
              <w:adjustRightInd w:val="0"/>
              <w:spacing w:after="0"/>
              <w:rPr>
                <w:rFonts w:ascii="Verdana" w:hAnsi="Verdana"/>
                <w:sz w:val="16"/>
                <w:szCs w:val="16"/>
              </w:rPr>
            </w:pPr>
            <w:r>
              <w:rPr>
                <w:rFonts w:ascii="Verdana" w:hAnsi="Verdana"/>
                <w:sz w:val="16"/>
                <w:szCs w:val="16"/>
              </w:rPr>
              <w:t>Geen subsidieverordening</w:t>
            </w:r>
          </w:p>
          <w:p w:rsidR="00D97C60" w:rsidRDefault="00D97C60" w:rsidP="00D97C60">
            <w:pPr>
              <w:tabs>
                <w:tab w:val="right" w:pos="9072"/>
              </w:tabs>
              <w:adjustRightInd w:val="0"/>
              <w:spacing w:after="0"/>
              <w:ind w:left="360"/>
              <w:rPr>
                <w:rFonts w:ascii="Verdana" w:hAnsi="Verdana"/>
                <w:sz w:val="16"/>
                <w:szCs w:val="16"/>
              </w:rPr>
            </w:pPr>
          </w:p>
          <w:p w:rsidR="00D97C60" w:rsidRDefault="00D97C60" w:rsidP="00D97C60">
            <w:pPr>
              <w:tabs>
                <w:tab w:val="right" w:pos="9072"/>
              </w:tabs>
              <w:adjustRightInd w:val="0"/>
              <w:spacing w:after="0"/>
              <w:ind w:left="360"/>
              <w:rPr>
                <w:rFonts w:ascii="Verdana" w:hAnsi="Verdana"/>
                <w:sz w:val="16"/>
                <w:szCs w:val="16"/>
              </w:rPr>
            </w:pPr>
          </w:p>
          <w:p w:rsidR="002D4DB1" w:rsidRPr="00222D72" w:rsidRDefault="002D4DB1" w:rsidP="00D97C60">
            <w:pPr>
              <w:tabs>
                <w:tab w:val="right" w:pos="9072"/>
              </w:tabs>
              <w:adjustRightInd w:val="0"/>
              <w:spacing w:after="0"/>
              <w:ind w:left="360"/>
              <w:rPr>
                <w:rFonts w:ascii="Verdana" w:hAnsi="Verdana"/>
                <w:sz w:val="16"/>
                <w:szCs w:val="16"/>
              </w:rPr>
            </w:pPr>
          </w:p>
          <w:p w:rsidR="00C117E6" w:rsidRDefault="00C117E6" w:rsidP="00C117E6">
            <w:pPr>
              <w:numPr>
                <w:ilvl w:val="0"/>
                <w:numId w:val="4"/>
              </w:numPr>
              <w:tabs>
                <w:tab w:val="right" w:pos="9072"/>
              </w:tabs>
              <w:adjustRightInd w:val="0"/>
              <w:spacing w:after="0"/>
              <w:rPr>
                <w:rFonts w:ascii="Verdana" w:hAnsi="Verdana"/>
                <w:sz w:val="16"/>
                <w:szCs w:val="16"/>
              </w:rPr>
            </w:pPr>
            <w:r w:rsidRPr="00222D72">
              <w:rPr>
                <w:rFonts w:ascii="Verdana" w:hAnsi="Verdana"/>
                <w:sz w:val="16"/>
                <w:szCs w:val="16"/>
              </w:rPr>
              <w:t>Monumentencommissie</w:t>
            </w:r>
            <w:r w:rsidR="002D4DB1">
              <w:rPr>
                <w:rFonts w:ascii="Verdana" w:hAnsi="Verdana"/>
                <w:sz w:val="16"/>
                <w:szCs w:val="16"/>
              </w:rPr>
              <w:t>, incl. verordening</w:t>
            </w:r>
            <w:r w:rsidR="007711E6">
              <w:rPr>
                <w:rFonts w:ascii="Verdana" w:hAnsi="Verdana"/>
                <w:sz w:val="16"/>
                <w:szCs w:val="16"/>
              </w:rPr>
              <w:t xml:space="preserve"> (2010)</w:t>
            </w:r>
          </w:p>
          <w:p w:rsidR="00D97C60" w:rsidRPr="00222D72" w:rsidRDefault="00D97C60" w:rsidP="00D97C60">
            <w:pPr>
              <w:tabs>
                <w:tab w:val="right" w:pos="9072"/>
              </w:tabs>
              <w:adjustRightInd w:val="0"/>
              <w:spacing w:after="0"/>
              <w:ind w:left="360"/>
              <w:rPr>
                <w:rFonts w:ascii="Verdana" w:hAnsi="Verdana"/>
                <w:sz w:val="16"/>
                <w:szCs w:val="16"/>
              </w:rPr>
            </w:pPr>
          </w:p>
          <w:p w:rsidR="00C117E6" w:rsidRDefault="00C117E6" w:rsidP="00C117E6">
            <w:pPr>
              <w:numPr>
                <w:ilvl w:val="0"/>
                <w:numId w:val="4"/>
              </w:numPr>
              <w:tabs>
                <w:tab w:val="right" w:pos="9072"/>
              </w:tabs>
              <w:adjustRightInd w:val="0"/>
              <w:spacing w:after="0"/>
              <w:rPr>
                <w:rFonts w:ascii="Verdana" w:hAnsi="Verdana"/>
                <w:sz w:val="16"/>
                <w:szCs w:val="16"/>
              </w:rPr>
            </w:pPr>
            <w:r w:rsidRPr="00222D72">
              <w:rPr>
                <w:rFonts w:ascii="Verdana" w:hAnsi="Verdana"/>
                <w:sz w:val="16"/>
                <w:szCs w:val="16"/>
              </w:rPr>
              <w:t>12 inschrijvingen in het rijksmonumentenregister</w:t>
            </w:r>
          </w:p>
          <w:p w:rsidR="00D97C60" w:rsidRPr="00222D72" w:rsidRDefault="00D97C60" w:rsidP="00D97C60">
            <w:pPr>
              <w:tabs>
                <w:tab w:val="right" w:pos="9072"/>
              </w:tabs>
              <w:adjustRightInd w:val="0"/>
              <w:spacing w:after="0"/>
              <w:rPr>
                <w:rFonts w:ascii="Verdana" w:hAnsi="Verdana"/>
                <w:sz w:val="16"/>
                <w:szCs w:val="16"/>
              </w:rPr>
            </w:pPr>
          </w:p>
          <w:p w:rsidR="00C117E6" w:rsidRDefault="00D97C60" w:rsidP="00C117E6">
            <w:pPr>
              <w:numPr>
                <w:ilvl w:val="0"/>
                <w:numId w:val="4"/>
              </w:numPr>
              <w:tabs>
                <w:tab w:val="right" w:pos="9072"/>
              </w:tabs>
              <w:adjustRightInd w:val="0"/>
              <w:spacing w:after="0"/>
              <w:rPr>
                <w:rFonts w:ascii="Verdana" w:hAnsi="Verdana"/>
                <w:sz w:val="16"/>
                <w:szCs w:val="16"/>
              </w:rPr>
            </w:pPr>
            <w:r>
              <w:rPr>
                <w:rFonts w:ascii="Verdana" w:hAnsi="Verdana"/>
                <w:sz w:val="16"/>
                <w:szCs w:val="16"/>
              </w:rPr>
              <w:t xml:space="preserve">9 </w:t>
            </w:r>
            <w:r w:rsidR="00C117E6" w:rsidRPr="00222D72">
              <w:rPr>
                <w:rFonts w:ascii="Verdana" w:hAnsi="Verdana"/>
                <w:sz w:val="16"/>
                <w:szCs w:val="16"/>
              </w:rPr>
              <w:t>gemeentelijke monumenten</w:t>
            </w:r>
            <w:r w:rsidR="005C0789">
              <w:rPr>
                <w:rFonts w:ascii="Verdana" w:hAnsi="Verdana"/>
                <w:sz w:val="16"/>
                <w:szCs w:val="16"/>
              </w:rPr>
              <w:t>.</w:t>
            </w:r>
          </w:p>
          <w:p w:rsidR="00C117E6" w:rsidRPr="00222D72" w:rsidRDefault="00C117E6" w:rsidP="00D97C60">
            <w:pPr>
              <w:tabs>
                <w:tab w:val="right" w:pos="9072"/>
              </w:tabs>
              <w:adjustRightInd w:val="0"/>
              <w:spacing w:after="0"/>
              <w:ind w:left="360"/>
              <w:rPr>
                <w:rFonts w:ascii="Verdana" w:hAnsi="Verdana"/>
                <w:sz w:val="16"/>
                <w:szCs w:val="16"/>
              </w:rPr>
            </w:pPr>
            <w:r>
              <w:rPr>
                <w:rFonts w:ascii="Verdana" w:hAnsi="Verdana"/>
                <w:sz w:val="16"/>
                <w:szCs w:val="16"/>
              </w:rPr>
              <w:t xml:space="preserve">Beleidskeuze </w:t>
            </w:r>
            <w:r w:rsidR="00D97C60">
              <w:rPr>
                <w:rFonts w:ascii="Verdana" w:hAnsi="Verdana"/>
                <w:sz w:val="16"/>
                <w:szCs w:val="16"/>
              </w:rPr>
              <w:t xml:space="preserve">heeft </w:t>
            </w:r>
            <w:r>
              <w:rPr>
                <w:rFonts w:ascii="Verdana" w:hAnsi="Verdana"/>
                <w:sz w:val="16"/>
                <w:szCs w:val="16"/>
              </w:rPr>
              <w:t>omvang gemeentelijke</w:t>
            </w:r>
            <w:r w:rsidR="00D97C60">
              <w:rPr>
                <w:rFonts w:ascii="Verdana" w:hAnsi="Verdana"/>
                <w:sz w:val="16"/>
                <w:szCs w:val="16"/>
              </w:rPr>
              <w:t xml:space="preserve"> </w:t>
            </w:r>
            <w:r>
              <w:rPr>
                <w:rFonts w:ascii="Verdana" w:hAnsi="Verdana"/>
                <w:sz w:val="16"/>
                <w:szCs w:val="16"/>
              </w:rPr>
              <w:t>monumenten</w:t>
            </w:r>
            <w:r w:rsidR="00D97C60">
              <w:rPr>
                <w:rFonts w:ascii="Verdana" w:hAnsi="Verdana"/>
                <w:sz w:val="16"/>
                <w:szCs w:val="16"/>
              </w:rPr>
              <w:t xml:space="preserve">- </w:t>
            </w:r>
            <w:r>
              <w:rPr>
                <w:rFonts w:ascii="Verdana" w:hAnsi="Verdana"/>
                <w:sz w:val="16"/>
                <w:szCs w:val="16"/>
              </w:rPr>
              <w:t>lijst</w:t>
            </w:r>
            <w:r w:rsidR="00D97C60">
              <w:rPr>
                <w:rFonts w:ascii="Verdana" w:hAnsi="Verdana"/>
                <w:sz w:val="16"/>
                <w:szCs w:val="16"/>
              </w:rPr>
              <w:t xml:space="preserve"> </w:t>
            </w:r>
            <w:r w:rsidR="007711E6">
              <w:rPr>
                <w:rFonts w:ascii="Verdana" w:hAnsi="Verdana"/>
                <w:sz w:val="16"/>
                <w:szCs w:val="16"/>
              </w:rPr>
              <w:t>beïnvloed</w:t>
            </w:r>
          </w:p>
          <w:p w:rsidR="00C117E6" w:rsidRDefault="00C117E6" w:rsidP="00D97C60">
            <w:pPr>
              <w:tabs>
                <w:tab w:val="right" w:pos="9072"/>
              </w:tabs>
              <w:adjustRightInd w:val="0"/>
              <w:spacing w:after="0"/>
              <w:ind w:left="360"/>
              <w:rPr>
                <w:rFonts w:ascii="Verdana" w:hAnsi="Verdana"/>
                <w:sz w:val="16"/>
                <w:szCs w:val="16"/>
              </w:rPr>
            </w:pPr>
            <w:r w:rsidRPr="00222D72">
              <w:rPr>
                <w:rFonts w:ascii="Verdana" w:hAnsi="Verdana"/>
                <w:sz w:val="16"/>
                <w:szCs w:val="16"/>
              </w:rPr>
              <w:t>Circa 3</w:t>
            </w:r>
            <w:r>
              <w:rPr>
                <w:rFonts w:ascii="Verdana" w:hAnsi="Verdana"/>
                <w:sz w:val="16"/>
                <w:szCs w:val="16"/>
              </w:rPr>
              <w:t>5</w:t>
            </w:r>
            <w:r w:rsidRPr="00222D72">
              <w:rPr>
                <w:rFonts w:ascii="Verdana" w:hAnsi="Verdana"/>
                <w:sz w:val="16"/>
                <w:szCs w:val="16"/>
              </w:rPr>
              <w:t xml:space="preserve">0 </w:t>
            </w:r>
            <w:r>
              <w:rPr>
                <w:rFonts w:ascii="Verdana" w:hAnsi="Verdana"/>
                <w:sz w:val="16"/>
                <w:szCs w:val="16"/>
              </w:rPr>
              <w:t xml:space="preserve">geïnventariseerde </w:t>
            </w:r>
            <w:r w:rsidRPr="00222D72">
              <w:rPr>
                <w:rFonts w:ascii="Verdana" w:hAnsi="Verdana"/>
                <w:sz w:val="16"/>
                <w:szCs w:val="16"/>
              </w:rPr>
              <w:t xml:space="preserve">panden/objecten </w:t>
            </w:r>
          </w:p>
          <w:p w:rsidR="00D97C60" w:rsidRPr="00222D72" w:rsidRDefault="00D97C60" w:rsidP="00D97C60">
            <w:pPr>
              <w:tabs>
                <w:tab w:val="right" w:pos="9072"/>
              </w:tabs>
              <w:adjustRightInd w:val="0"/>
              <w:spacing w:after="0"/>
              <w:ind w:left="360"/>
              <w:rPr>
                <w:rFonts w:ascii="Verdana" w:hAnsi="Verdana"/>
                <w:sz w:val="16"/>
                <w:szCs w:val="16"/>
              </w:rPr>
            </w:pPr>
          </w:p>
          <w:p w:rsidR="00F54258" w:rsidRDefault="00F54258" w:rsidP="00F54258">
            <w:pPr>
              <w:tabs>
                <w:tab w:val="left" w:pos="708"/>
                <w:tab w:val="right" w:pos="9072"/>
              </w:tabs>
              <w:adjustRightInd w:val="0"/>
              <w:spacing w:after="0"/>
              <w:rPr>
                <w:rFonts w:ascii="Verdana" w:hAnsi="Verdana"/>
                <w:sz w:val="16"/>
                <w:szCs w:val="16"/>
              </w:rPr>
            </w:pPr>
          </w:p>
          <w:p w:rsidR="00D97C60" w:rsidRPr="00222D72" w:rsidRDefault="00D97C60" w:rsidP="00D97C60">
            <w:pPr>
              <w:tabs>
                <w:tab w:val="left" w:pos="708"/>
                <w:tab w:val="right" w:pos="9072"/>
              </w:tabs>
              <w:adjustRightInd w:val="0"/>
              <w:spacing w:after="0"/>
              <w:rPr>
                <w:rFonts w:ascii="Verdana" w:hAnsi="Verdana"/>
                <w:sz w:val="16"/>
                <w:szCs w:val="16"/>
              </w:rPr>
            </w:pPr>
          </w:p>
          <w:p w:rsidR="00C117E6" w:rsidRDefault="00C117E6" w:rsidP="00C117E6">
            <w:pPr>
              <w:numPr>
                <w:ilvl w:val="0"/>
                <w:numId w:val="4"/>
              </w:numPr>
              <w:tabs>
                <w:tab w:val="left" w:pos="708"/>
                <w:tab w:val="right" w:pos="9072"/>
              </w:tabs>
              <w:adjustRightInd w:val="0"/>
              <w:spacing w:after="0"/>
              <w:rPr>
                <w:rFonts w:ascii="Verdana" w:hAnsi="Verdana"/>
                <w:sz w:val="16"/>
                <w:szCs w:val="16"/>
              </w:rPr>
            </w:pPr>
            <w:r w:rsidRPr="00222D72">
              <w:rPr>
                <w:rFonts w:ascii="Verdana" w:hAnsi="Verdana"/>
                <w:sz w:val="16"/>
                <w:szCs w:val="16"/>
              </w:rPr>
              <w:t xml:space="preserve">Budget </w:t>
            </w:r>
            <w:r>
              <w:rPr>
                <w:rFonts w:ascii="Verdana" w:hAnsi="Verdana"/>
                <w:sz w:val="16"/>
                <w:szCs w:val="16"/>
              </w:rPr>
              <w:t xml:space="preserve">t/m </w:t>
            </w:r>
            <w:r w:rsidRPr="00222D72">
              <w:rPr>
                <w:rFonts w:ascii="Verdana" w:hAnsi="Verdana"/>
                <w:sz w:val="16"/>
                <w:szCs w:val="16"/>
              </w:rPr>
              <w:t xml:space="preserve">2013 </w:t>
            </w:r>
            <w:r>
              <w:rPr>
                <w:rFonts w:ascii="Verdana" w:hAnsi="Verdana"/>
                <w:sz w:val="16"/>
                <w:szCs w:val="16"/>
              </w:rPr>
              <w:t>ca</w:t>
            </w:r>
            <w:r w:rsidR="00453C99">
              <w:rPr>
                <w:rFonts w:ascii="Verdana" w:hAnsi="Verdana"/>
                <w:sz w:val="16"/>
                <w:szCs w:val="16"/>
              </w:rPr>
              <w:t>.</w:t>
            </w:r>
            <w:r w:rsidRPr="00222D72">
              <w:rPr>
                <w:rFonts w:ascii="Verdana" w:hAnsi="Verdana"/>
                <w:sz w:val="16"/>
                <w:szCs w:val="16"/>
              </w:rPr>
              <w:t xml:space="preserve"> € </w:t>
            </w:r>
            <w:r>
              <w:rPr>
                <w:rFonts w:ascii="Verdana" w:hAnsi="Verdana"/>
                <w:sz w:val="16"/>
                <w:szCs w:val="16"/>
              </w:rPr>
              <w:t>20.000</w:t>
            </w:r>
          </w:p>
          <w:p w:rsidR="005C0789" w:rsidRDefault="005C0789" w:rsidP="005C0789">
            <w:pPr>
              <w:pStyle w:val="Lijstalinea"/>
              <w:rPr>
                <w:rFonts w:ascii="Verdana" w:hAnsi="Verdana"/>
                <w:sz w:val="16"/>
                <w:szCs w:val="16"/>
              </w:rPr>
            </w:pPr>
          </w:p>
          <w:p w:rsidR="00453C99" w:rsidRDefault="00453C99" w:rsidP="00453C99">
            <w:pPr>
              <w:tabs>
                <w:tab w:val="left" w:pos="708"/>
                <w:tab w:val="right" w:pos="9072"/>
              </w:tabs>
              <w:adjustRightInd w:val="0"/>
              <w:spacing w:after="0"/>
              <w:rPr>
                <w:rFonts w:ascii="Verdana" w:hAnsi="Verdana"/>
                <w:sz w:val="16"/>
                <w:szCs w:val="16"/>
              </w:rPr>
            </w:pPr>
          </w:p>
          <w:p w:rsidR="00DF4E02" w:rsidRDefault="00DF4E02" w:rsidP="00453C99">
            <w:pPr>
              <w:tabs>
                <w:tab w:val="left" w:pos="708"/>
                <w:tab w:val="right" w:pos="9072"/>
              </w:tabs>
              <w:adjustRightInd w:val="0"/>
              <w:spacing w:after="0"/>
              <w:rPr>
                <w:rFonts w:ascii="Verdana" w:hAnsi="Verdana"/>
                <w:sz w:val="16"/>
                <w:szCs w:val="16"/>
              </w:rPr>
            </w:pPr>
          </w:p>
          <w:p w:rsidR="006B35A7" w:rsidRDefault="006B35A7" w:rsidP="00453C99">
            <w:pPr>
              <w:tabs>
                <w:tab w:val="left" w:pos="708"/>
                <w:tab w:val="right" w:pos="9072"/>
              </w:tabs>
              <w:adjustRightInd w:val="0"/>
              <w:spacing w:after="0"/>
              <w:rPr>
                <w:rFonts w:ascii="Verdana" w:hAnsi="Verdana"/>
                <w:sz w:val="16"/>
                <w:szCs w:val="16"/>
              </w:rPr>
            </w:pPr>
          </w:p>
          <w:p w:rsidR="006B35A7" w:rsidRDefault="006B35A7" w:rsidP="00453C99">
            <w:pPr>
              <w:tabs>
                <w:tab w:val="left" w:pos="708"/>
                <w:tab w:val="right" w:pos="9072"/>
              </w:tabs>
              <w:adjustRightInd w:val="0"/>
              <w:spacing w:after="0"/>
              <w:rPr>
                <w:rFonts w:ascii="Verdana" w:hAnsi="Verdana"/>
                <w:sz w:val="16"/>
                <w:szCs w:val="16"/>
              </w:rPr>
            </w:pPr>
          </w:p>
          <w:p w:rsidR="006B35A7" w:rsidRDefault="006B35A7" w:rsidP="00453C99">
            <w:pPr>
              <w:tabs>
                <w:tab w:val="left" w:pos="708"/>
                <w:tab w:val="right" w:pos="9072"/>
              </w:tabs>
              <w:adjustRightInd w:val="0"/>
              <w:spacing w:after="0"/>
              <w:rPr>
                <w:rFonts w:ascii="Verdana" w:hAnsi="Verdana"/>
                <w:sz w:val="16"/>
                <w:szCs w:val="16"/>
              </w:rPr>
            </w:pPr>
          </w:p>
          <w:p w:rsidR="006B35A7" w:rsidRDefault="006B35A7" w:rsidP="00453C99">
            <w:pPr>
              <w:tabs>
                <w:tab w:val="left" w:pos="708"/>
                <w:tab w:val="right" w:pos="9072"/>
              </w:tabs>
              <w:adjustRightInd w:val="0"/>
              <w:spacing w:after="0"/>
              <w:rPr>
                <w:rFonts w:ascii="Verdana" w:hAnsi="Verdana"/>
                <w:sz w:val="16"/>
                <w:szCs w:val="16"/>
              </w:rPr>
            </w:pPr>
          </w:p>
          <w:p w:rsidR="00A0719B" w:rsidRDefault="00A0719B" w:rsidP="00453C99">
            <w:pPr>
              <w:tabs>
                <w:tab w:val="left" w:pos="708"/>
                <w:tab w:val="right" w:pos="9072"/>
              </w:tabs>
              <w:adjustRightInd w:val="0"/>
              <w:spacing w:after="0"/>
              <w:rPr>
                <w:rFonts w:ascii="Verdana" w:hAnsi="Verdana"/>
                <w:sz w:val="16"/>
                <w:szCs w:val="16"/>
              </w:rPr>
            </w:pPr>
          </w:p>
          <w:p w:rsidR="00A0719B" w:rsidRDefault="00A0719B" w:rsidP="00453C99">
            <w:pPr>
              <w:tabs>
                <w:tab w:val="left" w:pos="708"/>
                <w:tab w:val="right" w:pos="9072"/>
              </w:tabs>
              <w:adjustRightInd w:val="0"/>
              <w:spacing w:after="0"/>
              <w:rPr>
                <w:rFonts w:ascii="Verdana" w:hAnsi="Verdana"/>
                <w:sz w:val="16"/>
                <w:szCs w:val="16"/>
              </w:rPr>
            </w:pPr>
          </w:p>
          <w:p w:rsidR="00505952" w:rsidRDefault="00505952" w:rsidP="00C117E6">
            <w:pPr>
              <w:numPr>
                <w:ilvl w:val="0"/>
                <w:numId w:val="4"/>
              </w:numPr>
              <w:tabs>
                <w:tab w:val="left" w:pos="708"/>
                <w:tab w:val="right" w:pos="9072"/>
              </w:tabs>
              <w:adjustRightInd w:val="0"/>
              <w:spacing w:after="0"/>
              <w:rPr>
                <w:rFonts w:ascii="Verdana" w:hAnsi="Verdana"/>
                <w:sz w:val="16"/>
                <w:szCs w:val="16"/>
              </w:rPr>
            </w:pPr>
            <w:r>
              <w:rPr>
                <w:rFonts w:ascii="Verdana" w:hAnsi="Verdana"/>
                <w:sz w:val="16"/>
                <w:szCs w:val="16"/>
              </w:rPr>
              <w:t>Inventarisatie: uitgave “In Boskoop staat een huis”</w:t>
            </w:r>
          </w:p>
          <w:p w:rsidR="00DC0365" w:rsidRDefault="00DC0365" w:rsidP="00DC0365">
            <w:pPr>
              <w:tabs>
                <w:tab w:val="left" w:pos="708"/>
                <w:tab w:val="right" w:pos="9072"/>
              </w:tabs>
              <w:adjustRightInd w:val="0"/>
              <w:spacing w:after="0"/>
              <w:ind w:left="360"/>
              <w:rPr>
                <w:rFonts w:ascii="Verdana" w:hAnsi="Verdana"/>
                <w:sz w:val="16"/>
                <w:szCs w:val="16"/>
              </w:rPr>
            </w:pPr>
          </w:p>
          <w:p w:rsidR="00DC0365" w:rsidRDefault="00DC0365" w:rsidP="00DC0365">
            <w:pPr>
              <w:tabs>
                <w:tab w:val="left" w:pos="708"/>
                <w:tab w:val="right" w:pos="9072"/>
              </w:tabs>
              <w:adjustRightInd w:val="0"/>
              <w:spacing w:after="0"/>
              <w:ind w:left="360"/>
              <w:rPr>
                <w:rFonts w:ascii="Verdana" w:hAnsi="Verdana"/>
                <w:sz w:val="16"/>
                <w:szCs w:val="16"/>
              </w:rPr>
            </w:pPr>
          </w:p>
          <w:p w:rsidR="00DC0365" w:rsidRDefault="00DC0365" w:rsidP="00DC0365">
            <w:pPr>
              <w:tabs>
                <w:tab w:val="left" w:pos="708"/>
                <w:tab w:val="right" w:pos="9072"/>
              </w:tabs>
              <w:adjustRightInd w:val="0"/>
              <w:spacing w:after="0"/>
              <w:ind w:left="360"/>
              <w:rPr>
                <w:rFonts w:ascii="Verdana" w:hAnsi="Verdana"/>
                <w:sz w:val="16"/>
                <w:szCs w:val="16"/>
              </w:rPr>
            </w:pPr>
          </w:p>
          <w:p w:rsidR="006B35A7" w:rsidRDefault="006B35A7" w:rsidP="006B35A7">
            <w:pPr>
              <w:tabs>
                <w:tab w:val="left" w:pos="708"/>
                <w:tab w:val="right" w:pos="9072"/>
              </w:tabs>
              <w:adjustRightInd w:val="0"/>
              <w:spacing w:after="0"/>
              <w:rPr>
                <w:rFonts w:ascii="Verdana" w:hAnsi="Verdana"/>
                <w:sz w:val="16"/>
                <w:szCs w:val="16"/>
              </w:rPr>
            </w:pPr>
          </w:p>
          <w:p w:rsidR="00DC0365" w:rsidRDefault="00DC0365" w:rsidP="00DC0365">
            <w:pPr>
              <w:tabs>
                <w:tab w:val="left" w:pos="708"/>
                <w:tab w:val="right" w:pos="9072"/>
              </w:tabs>
              <w:adjustRightInd w:val="0"/>
              <w:spacing w:after="0"/>
              <w:rPr>
                <w:rFonts w:ascii="Verdana" w:hAnsi="Verdana"/>
                <w:sz w:val="16"/>
                <w:szCs w:val="16"/>
              </w:rPr>
            </w:pPr>
          </w:p>
          <w:p w:rsidR="00DC0365" w:rsidRDefault="00DC0365" w:rsidP="00DC0365">
            <w:pPr>
              <w:tabs>
                <w:tab w:val="left" w:pos="708"/>
                <w:tab w:val="right" w:pos="9072"/>
              </w:tabs>
              <w:adjustRightInd w:val="0"/>
              <w:spacing w:after="0"/>
              <w:rPr>
                <w:rFonts w:ascii="Verdana" w:hAnsi="Verdana"/>
                <w:sz w:val="16"/>
                <w:szCs w:val="16"/>
              </w:rPr>
            </w:pPr>
          </w:p>
          <w:p w:rsidR="00DC0365" w:rsidRPr="00222D72" w:rsidRDefault="00DC0365" w:rsidP="00DC0365">
            <w:pPr>
              <w:tabs>
                <w:tab w:val="left" w:pos="708"/>
                <w:tab w:val="right" w:pos="9072"/>
              </w:tabs>
              <w:adjustRightInd w:val="0"/>
              <w:spacing w:after="0"/>
              <w:rPr>
                <w:rFonts w:ascii="Verdana" w:hAnsi="Verdana"/>
                <w:sz w:val="16"/>
                <w:szCs w:val="16"/>
              </w:rPr>
            </w:pPr>
          </w:p>
          <w:p w:rsidR="00C117E6" w:rsidRDefault="00C117E6" w:rsidP="00F56FB2">
            <w:pPr>
              <w:tabs>
                <w:tab w:val="left" w:pos="708"/>
              </w:tabs>
              <w:adjustRightInd w:val="0"/>
              <w:rPr>
                <w:rFonts w:ascii="Verdana" w:hAnsi="Verdana"/>
                <w:sz w:val="16"/>
                <w:szCs w:val="16"/>
              </w:rPr>
            </w:pPr>
          </w:p>
          <w:p w:rsidR="00C117E6" w:rsidRPr="00222D72" w:rsidRDefault="00C117E6" w:rsidP="00F56FB2">
            <w:pPr>
              <w:tabs>
                <w:tab w:val="left" w:pos="708"/>
              </w:tabs>
              <w:adjustRightInd w:val="0"/>
              <w:rPr>
                <w:rFonts w:ascii="Verdana" w:hAnsi="Verdana"/>
                <w:sz w:val="16"/>
                <w:szCs w:val="16"/>
              </w:rPr>
            </w:pPr>
          </w:p>
        </w:tc>
        <w:tc>
          <w:tcPr>
            <w:tcW w:w="3000" w:type="dxa"/>
            <w:tcBorders>
              <w:top w:val="single" w:sz="4" w:space="0" w:color="auto"/>
              <w:left w:val="single" w:sz="4" w:space="0" w:color="auto"/>
              <w:bottom w:val="single" w:sz="4" w:space="0" w:color="auto"/>
              <w:right w:val="single" w:sz="4" w:space="0" w:color="auto"/>
            </w:tcBorders>
          </w:tcPr>
          <w:p w:rsidR="00C117E6" w:rsidRPr="00222D72" w:rsidRDefault="00C117E6" w:rsidP="00F56FB2">
            <w:pPr>
              <w:tabs>
                <w:tab w:val="left" w:pos="708"/>
              </w:tabs>
              <w:adjustRightInd w:val="0"/>
              <w:rPr>
                <w:rFonts w:ascii="Verdana" w:hAnsi="Verdana"/>
                <w:b/>
                <w:sz w:val="16"/>
                <w:szCs w:val="16"/>
              </w:rPr>
            </w:pPr>
            <w:r w:rsidRPr="00222D72">
              <w:rPr>
                <w:rFonts w:ascii="Verdana" w:hAnsi="Verdana"/>
                <w:b/>
                <w:sz w:val="16"/>
                <w:szCs w:val="16"/>
              </w:rPr>
              <w:t xml:space="preserve">Rijnwoude </w:t>
            </w:r>
          </w:p>
          <w:p w:rsidR="00C117E6" w:rsidRDefault="00C117E6" w:rsidP="00C117E6">
            <w:pPr>
              <w:numPr>
                <w:ilvl w:val="0"/>
                <w:numId w:val="5"/>
              </w:numPr>
              <w:tabs>
                <w:tab w:val="right" w:pos="9072"/>
              </w:tabs>
              <w:adjustRightInd w:val="0"/>
              <w:spacing w:after="0"/>
              <w:rPr>
                <w:rFonts w:ascii="Verdana" w:hAnsi="Verdana"/>
                <w:sz w:val="16"/>
                <w:szCs w:val="16"/>
              </w:rPr>
            </w:pPr>
            <w:r w:rsidRPr="00222D72">
              <w:rPr>
                <w:rFonts w:ascii="Verdana" w:hAnsi="Verdana"/>
                <w:sz w:val="16"/>
                <w:szCs w:val="16"/>
              </w:rPr>
              <w:t>Beleid vastgesteld in raadsbesluit</w:t>
            </w:r>
            <w:r w:rsidR="002D4DB1">
              <w:rPr>
                <w:rFonts w:ascii="Verdana" w:hAnsi="Verdana"/>
                <w:sz w:val="16"/>
                <w:szCs w:val="16"/>
              </w:rPr>
              <w:t xml:space="preserve"> (2011)</w:t>
            </w:r>
          </w:p>
          <w:p w:rsidR="005C0789" w:rsidRDefault="005C0789" w:rsidP="005C0789">
            <w:pPr>
              <w:tabs>
                <w:tab w:val="right" w:pos="9072"/>
              </w:tabs>
              <w:adjustRightInd w:val="0"/>
              <w:spacing w:after="0"/>
              <w:ind w:left="360"/>
              <w:rPr>
                <w:rFonts w:ascii="Verdana" w:hAnsi="Verdana"/>
                <w:sz w:val="16"/>
                <w:szCs w:val="16"/>
              </w:rPr>
            </w:pPr>
          </w:p>
          <w:p w:rsidR="005C0789" w:rsidRDefault="005C0789" w:rsidP="00C117E6">
            <w:pPr>
              <w:numPr>
                <w:ilvl w:val="0"/>
                <w:numId w:val="5"/>
              </w:numPr>
              <w:tabs>
                <w:tab w:val="right" w:pos="9072"/>
              </w:tabs>
              <w:adjustRightInd w:val="0"/>
              <w:spacing w:after="0"/>
              <w:rPr>
                <w:rFonts w:ascii="Verdana" w:hAnsi="Verdana"/>
                <w:sz w:val="16"/>
                <w:szCs w:val="16"/>
              </w:rPr>
            </w:pPr>
            <w:r>
              <w:rPr>
                <w:rFonts w:ascii="Verdana" w:hAnsi="Verdana"/>
                <w:sz w:val="16"/>
                <w:szCs w:val="16"/>
              </w:rPr>
              <w:t>Monumentenverordening</w:t>
            </w:r>
            <w:r w:rsidR="002D4DB1">
              <w:rPr>
                <w:rFonts w:ascii="Verdana" w:hAnsi="Verdana"/>
                <w:sz w:val="16"/>
                <w:szCs w:val="16"/>
              </w:rPr>
              <w:t xml:space="preserve"> (2012)</w:t>
            </w:r>
          </w:p>
          <w:p w:rsidR="002D4DB1" w:rsidRDefault="002D4DB1" w:rsidP="002D4DB1">
            <w:pPr>
              <w:tabs>
                <w:tab w:val="right" w:pos="9072"/>
              </w:tabs>
              <w:adjustRightInd w:val="0"/>
              <w:spacing w:after="0"/>
              <w:rPr>
                <w:rFonts w:ascii="Verdana" w:hAnsi="Verdana"/>
                <w:sz w:val="16"/>
                <w:szCs w:val="16"/>
              </w:rPr>
            </w:pPr>
          </w:p>
          <w:p w:rsidR="002D4DB1" w:rsidRDefault="002D4DB1" w:rsidP="002D4DB1">
            <w:pPr>
              <w:numPr>
                <w:ilvl w:val="0"/>
                <w:numId w:val="4"/>
              </w:numPr>
              <w:tabs>
                <w:tab w:val="right" w:pos="9072"/>
              </w:tabs>
              <w:adjustRightInd w:val="0"/>
              <w:spacing w:after="0"/>
              <w:rPr>
                <w:rFonts w:ascii="Verdana" w:hAnsi="Verdana"/>
                <w:sz w:val="16"/>
                <w:szCs w:val="16"/>
              </w:rPr>
            </w:pPr>
            <w:r>
              <w:rPr>
                <w:rFonts w:ascii="Verdana" w:hAnsi="Verdana"/>
                <w:sz w:val="16"/>
                <w:szCs w:val="16"/>
              </w:rPr>
              <w:t>Subsidieverordening (2012)</w:t>
            </w:r>
          </w:p>
          <w:p w:rsidR="002D4DB1" w:rsidRDefault="002D4DB1" w:rsidP="002D4DB1">
            <w:pPr>
              <w:tabs>
                <w:tab w:val="right" w:pos="9072"/>
              </w:tabs>
              <w:adjustRightInd w:val="0"/>
              <w:spacing w:after="0"/>
              <w:ind w:left="360"/>
              <w:rPr>
                <w:rFonts w:ascii="Verdana" w:hAnsi="Verdana"/>
                <w:sz w:val="16"/>
                <w:szCs w:val="16"/>
              </w:rPr>
            </w:pPr>
            <w:r>
              <w:rPr>
                <w:rFonts w:ascii="Verdana" w:hAnsi="Verdana"/>
                <w:sz w:val="16"/>
                <w:szCs w:val="16"/>
              </w:rPr>
              <w:t>Subsidieplafond € 40.000, -</w:t>
            </w:r>
          </w:p>
          <w:p w:rsidR="002D4DB1" w:rsidRDefault="002D4DB1" w:rsidP="002D4DB1">
            <w:pPr>
              <w:tabs>
                <w:tab w:val="right" w:pos="9072"/>
              </w:tabs>
              <w:adjustRightInd w:val="0"/>
              <w:spacing w:after="0"/>
              <w:rPr>
                <w:rFonts w:ascii="Verdana" w:hAnsi="Verdana"/>
                <w:sz w:val="16"/>
                <w:szCs w:val="16"/>
              </w:rPr>
            </w:pPr>
          </w:p>
          <w:p w:rsidR="00D97C60" w:rsidRPr="00222D72" w:rsidRDefault="00D97C60" w:rsidP="002D4DB1">
            <w:pPr>
              <w:tabs>
                <w:tab w:val="right" w:pos="9072"/>
              </w:tabs>
              <w:adjustRightInd w:val="0"/>
              <w:spacing w:after="0"/>
              <w:rPr>
                <w:rFonts w:ascii="Verdana" w:hAnsi="Verdana"/>
                <w:sz w:val="16"/>
                <w:szCs w:val="16"/>
              </w:rPr>
            </w:pPr>
          </w:p>
          <w:p w:rsidR="00C117E6" w:rsidRDefault="00C117E6" w:rsidP="00C117E6">
            <w:pPr>
              <w:numPr>
                <w:ilvl w:val="0"/>
                <w:numId w:val="5"/>
              </w:numPr>
              <w:tabs>
                <w:tab w:val="right" w:pos="9072"/>
              </w:tabs>
              <w:adjustRightInd w:val="0"/>
              <w:spacing w:after="0"/>
              <w:rPr>
                <w:rFonts w:ascii="Verdana" w:hAnsi="Verdana"/>
                <w:sz w:val="16"/>
                <w:szCs w:val="16"/>
              </w:rPr>
            </w:pPr>
            <w:r w:rsidRPr="00222D72">
              <w:rPr>
                <w:rFonts w:ascii="Verdana" w:hAnsi="Verdana"/>
                <w:sz w:val="16"/>
                <w:szCs w:val="16"/>
              </w:rPr>
              <w:t>Monumentencommissie</w:t>
            </w:r>
            <w:r w:rsidR="002D4DB1">
              <w:rPr>
                <w:rFonts w:ascii="Verdana" w:hAnsi="Verdana"/>
                <w:sz w:val="16"/>
                <w:szCs w:val="16"/>
              </w:rPr>
              <w:t>, incl. verordening (2012)</w:t>
            </w:r>
          </w:p>
          <w:p w:rsidR="00D97C60" w:rsidRPr="00222D72" w:rsidRDefault="00D97C60" w:rsidP="00D97C60">
            <w:pPr>
              <w:tabs>
                <w:tab w:val="right" w:pos="9072"/>
              </w:tabs>
              <w:adjustRightInd w:val="0"/>
              <w:spacing w:after="0"/>
              <w:rPr>
                <w:rFonts w:ascii="Verdana" w:hAnsi="Verdana"/>
                <w:sz w:val="16"/>
                <w:szCs w:val="16"/>
              </w:rPr>
            </w:pPr>
          </w:p>
          <w:p w:rsidR="00D97C60" w:rsidRDefault="00C117E6" w:rsidP="00D97C60">
            <w:pPr>
              <w:numPr>
                <w:ilvl w:val="0"/>
                <w:numId w:val="5"/>
              </w:numPr>
              <w:tabs>
                <w:tab w:val="right" w:pos="9072"/>
              </w:tabs>
              <w:adjustRightInd w:val="0"/>
              <w:spacing w:after="0"/>
              <w:rPr>
                <w:rFonts w:ascii="Verdana" w:hAnsi="Verdana"/>
                <w:sz w:val="16"/>
                <w:szCs w:val="16"/>
              </w:rPr>
            </w:pPr>
            <w:r w:rsidRPr="00222D72">
              <w:rPr>
                <w:rFonts w:ascii="Verdana" w:hAnsi="Verdana"/>
                <w:sz w:val="16"/>
                <w:szCs w:val="16"/>
              </w:rPr>
              <w:t>87 inschrijvingen in het rijksmonumentenregister</w:t>
            </w:r>
          </w:p>
          <w:p w:rsidR="00D97C60" w:rsidRPr="00D97C60" w:rsidRDefault="00D97C60" w:rsidP="00D97C60">
            <w:pPr>
              <w:tabs>
                <w:tab w:val="right" w:pos="9072"/>
              </w:tabs>
              <w:adjustRightInd w:val="0"/>
              <w:spacing w:after="0"/>
              <w:rPr>
                <w:rFonts w:ascii="Verdana" w:hAnsi="Verdana"/>
                <w:sz w:val="16"/>
                <w:szCs w:val="16"/>
              </w:rPr>
            </w:pPr>
          </w:p>
          <w:p w:rsidR="00C117E6" w:rsidRDefault="00C117E6" w:rsidP="00C117E6">
            <w:pPr>
              <w:numPr>
                <w:ilvl w:val="0"/>
                <w:numId w:val="5"/>
              </w:numPr>
              <w:tabs>
                <w:tab w:val="right" w:pos="9072"/>
              </w:tabs>
              <w:adjustRightInd w:val="0"/>
              <w:spacing w:after="0"/>
              <w:rPr>
                <w:rFonts w:ascii="Verdana" w:hAnsi="Verdana"/>
                <w:sz w:val="16"/>
                <w:szCs w:val="16"/>
              </w:rPr>
            </w:pPr>
            <w:r w:rsidRPr="00222D72">
              <w:rPr>
                <w:rFonts w:ascii="Verdana" w:hAnsi="Verdana"/>
                <w:sz w:val="16"/>
                <w:szCs w:val="16"/>
              </w:rPr>
              <w:t xml:space="preserve">Eind 2013 circa </w:t>
            </w:r>
            <w:r w:rsidR="005C0789">
              <w:rPr>
                <w:rFonts w:ascii="Verdana" w:hAnsi="Verdana"/>
                <w:sz w:val="16"/>
                <w:szCs w:val="16"/>
              </w:rPr>
              <w:t>21</w:t>
            </w:r>
            <w:r w:rsidRPr="00222D72">
              <w:rPr>
                <w:rFonts w:ascii="Verdana" w:hAnsi="Verdana"/>
                <w:sz w:val="16"/>
                <w:szCs w:val="16"/>
              </w:rPr>
              <w:t xml:space="preserve"> gemeentelijke monumenten</w:t>
            </w:r>
          </w:p>
          <w:p w:rsidR="007711E6" w:rsidRDefault="007711E6" w:rsidP="007711E6">
            <w:pPr>
              <w:tabs>
                <w:tab w:val="right" w:pos="9072"/>
              </w:tabs>
              <w:adjustRightInd w:val="0"/>
              <w:spacing w:after="0"/>
              <w:ind w:left="360"/>
              <w:rPr>
                <w:rFonts w:ascii="Verdana" w:hAnsi="Verdana"/>
                <w:sz w:val="16"/>
                <w:szCs w:val="16"/>
              </w:rPr>
            </w:pPr>
            <w:r>
              <w:rPr>
                <w:rFonts w:ascii="Verdana" w:hAnsi="Verdana"/>
                <w:sz w:val="16"/>
                <w:szCs w:val="16"/>
              </w:rPr>
              <w:t>15 in procedure</w:t>
            </w:r>
          </w:p>
          <w:p w:rsidR="00CC48CA" w:rsidRDefault="005C0789" w:rsidP="00CC48CA">
            <w:pPr>
              <w:tabs>
                <w:tab w:val="right" w:pos="9072"/>
              </w:tabs>
              <w:adjustRightInd w:val="0"/>
              <w:spacing w:after="0"/>
              <w:ind w:left="360"/>
              <w:rPr>
                <w:rFonts w:ascii="Verdana" w:hAnsi="Verdana"/>
                <w:sz w:val="16"/>
                <w:szCs w:val="16"/>
              </w:rPr>
            </w:pPr>
            <w:r>
              <w:rPr>
                <w:rFonts w:ascii="Verdana" w:hAnsi="Verdana"/>
                <w:sz w:val="16"/>
                <w:szCs w:val="16"/>
              </w:rPr>
              <w:t>Ambitie: 60 gemeentelijke monumenten</w:t>
            </w:r>
            <w:r w:rsidR="00CC48CA">
              <w:rPr>
                <w:rFonts w:ascii="Verdana" w:hAnsi="Verdana"/>
                <w:sz w:val="16"/>
                <w:szCs w:val="16"/>
              </w:rPr>
              <w:t xml:space="preserve"> (totaal geïnventariseerd: 168</w:t>
            </w:r>
          </w:p>
          <w:p w:rsidR="00D97C60" w:rsidRPr="00222D72" w:rsidRDefault="00D97C60" w:rsidP="00D97C60">
            <w:pPr>
              <w:tabs>
                <w:tab w:val="right" w:pos="9072"/>
              </w:tabs>
              <w:adjustRightInd w:val="0"/>
              <w:spacing w:after="0"/>
              <w:rPr>
                <w:rFonts w:ascii="Verdana" w:hAnsi="Verdana"/>
                <w:sz w:val="16"/>
                <w:szCs w:val="16"/>
              </w:rPr>
            </w:pPr>
          </w:p>
          <w:p w:rsidR="00D97C60" w:rsidRDefault="00D97C60" w:rsidP="00D97C60">
            <w:pPr>
              <w:tabs>
                <w:tab w:val="right" w:pos="9072"/>
              </w:tabs>
              <w:adjustRightInd w:val="0"/>
              <w:spacing w:after="0"/>
              <w:ind w:left="360"/>
              <w:rPr>
                <w:rFonts w:ascii="Verdana" w:hAnsi="Verdana"/>
                <w:sz w:val="16"/>
                <w:szCs w:val="16"/>
              </w:rPr>
            </w:pPr>
          </w:p>
          <w:p w:rsidR="005C0789" w:rsidRPr="00222D72" w:rsidRDefault="005C0789" w:rsidP="005C0789">
            <w:pPr>
              <w:tabs>
                <w:tab w:val="right" w:pos="9072"/>
              </w:tabs>
              <w:adjustRightInd w:val="0"/>
              <w:spacing w:after="0"/>
              <w:rPr>
                <w:rFonts w:ascii="Verdana" w:hAnsi="Verdana"/>
                <w:sz w:val="16"/>
                <w:szCs w:val="16"/>
              </w:rPr>
            </w:pPr>
          </w:p>
          <w:p w:rsidR="00C117E6" w:rsidRDefault="00C117E6" w:rsidP="00C117E6">
            <w:pPr>
              <w:numPr>
                <w:ilvl w:val="0"/>
                <w:numId w:val="5"/>
              </w:numPr>
              <w:tabs>
                <w:tab w:val="left" w:pos="708"/>
                <w:tab w:val="right" w:pos="9072"/>
              </w:tabs>
              <w:adjustRightInd w:val="0"/>
              <w:spacing w:after="0"/>
              <w:rPr>
                <w:rFonts w:ascii="Verdana" w:hAnsi="Verdana"/>
                <w:sz w:val="16"/>
                <w:szCs w:val="16"/>
              </w:rPr>
            </w:pPr>
            <w:r w:rsidRPr="00222D72">
              <w:rPr>
                <w:rFonts w:ascii="Verdana" w:hAnsi="Verdana"/>
                <w:sz w:val="16"/>
                <w:szCs w:val="16"/>
              </w:rPr>
              <w:t xml:space="preserve">Budget </w:t>
            </w:r>
            <w:r>
              <w:rPr>
                <w:rFonts w:ascii="Verdana" w:hAnsi="Verdana"/>
                <w:sz w:val="16"/>
                <w:szCs w:val="16"/>
              </w:rPr>
              <w:t xml:space="preserve">t/m </w:t>
            </w:r>
            <w:r w:rsidRPr="00222D72">
              <w:rPr>
                <w:rFonts w:ascii="Verdana" w:hAnsi="Verdana"/>
                <w:sz w:val="16"/>
                <w:szCs w:val="16"/>
              </w:rPr>
              <w:t>2013</w:t>
            </w:r>
            <w:r>
              <w:rPr>
                <w:rFonts w:ascii="Verdana" w:hAnsi="Verdana"/>
                <w:sz w:val="16"/>
                <w:szCs w:val="16"/>
              </w:rPr>
              <w:t xml:space="preserve"> </w:t>
            </w:r>
            <w:r w:rsidRPr="00222D72">
              <w:rPr>
                <w:rFonts w:ascii="Verdana" w:hAnsi="Verdana"/>
                <w:sz w:val="16"/>
                <w:szCs w:val="16"/>
              </w:rPr>
              <w:t xml:space="preserve">€ </w:t>
            </w:r>
            <w:r w:rsidR="005C0789">
              <w:rPr>
                <w:rFonts w:ascii="Verdana" w:hAnsi="Verdana"/>
                <w:sz w:val="16"/>
                <w:szCs w:val="16"/>
              </w:rPr>
              <w:t>15</w:t>
            </w:r>
            <w:r w:rsidRPr="00222D72">
              <w:rPr>
                <w:rFonts w:ascii="Verdana" w:hAnsi="Verdana"/>
                <w:sz w:val="16"/>
                <w:szCs w:val="16"/>
              </w:rPr>
              <w:t>.000</w:t>
            </w:r>
          </w:p>
          <w:p w:rsidR="005C0789" w:rsidRDefault="005C0789" w:rsidP="005C0789">
            <w:pPr>
              <w:tabs>
                <w:tab w:val="left" w:pos="708"/>
                <w:tab w:val="right" w:pos="9072"/>
              </w:tabs>
              <w:adjustRightInd w:val="0"/>
              <w:spacing w:after="0"/>
              <w:ind w:left="360"/>
              <w:rPr>
                <w:rFonts w:ascii="Verdana" w:hAnsi="Verdana"/>
                <w:sz w:val="16"/>
                <w:szCs w:val="16"/>
              </w:rPr>
            </w:pPr>
            <w:r>
              <w:rPr>
                <w:rFonts w:ascii="Verdana" w:hAnsi="Verdana"/>
                <w:sz w:val="16"/>
                <w:szCs w:val="16"/>
              </w:rPr>
              <w:t xml:space="preserve">(na </w:t>
            </w:r>
            <w:r w:rsidR="00505952">
              <w:rPr>
                <w:rFonts w:ascii="Verdana" w:hAnsi="Verdana"/>
                <w:sz w:val="16"/>
                <w:szCs w:val="16"/>
              </w:rPr>
              <w:t xml:space="preserve">2 </w:t>
            </w:r>
            <w:r>
              <w:rPr>
                <w:rFonts w:ascii="Verdana" w:hAnsi="Verdana"/>
                <w:sz w:val="16"/>
                <w:szCs w:val="16"/>
              </w:rPr>
              <w:t>bezuiniging</w:t>
            </w:r>
            <w:r w:rsidR="00505952">
              <w:rPr>
                <w:rFonts w:ascii="Verdana" w:hAnsi="Verdana"/>
                <w:sz w:val="16"/>
                <w:szCs w:val="16"/>
              </w:rPr>
              <w:t>sronden</w:t>
            </w:r>
            <w:r>
              <w:rPr>
                <w:rFonts w:ascii="Verdana" w:hAnsi="Verdana"/>
                <w:sz w:val="16"/>
                <w:szCs w:val="16"/>
              </w:rPr>
              <w:t>)</w:t>
            </w:r>
          </w:p>
          <w:p w:rsidR="005C0789" w:rsidRDefault="005C0789" w:rsidP="005C0789">
            <w:pPr>
              <w:tabs>
                <w:tab w:val="left" w:pos="708"/>
                <w:tab w:val="right" w:pos="9072"/>
              </w:tabs>
              <w:adjustRightInd w:val="0"/>
              <w:spacing w:after="0"/>
              <w:ind w:left="360"/>
              <w:rPr>
                <w:rFonts w:ascii="Verdana" w:hAnsi="Verdana"/>
                <w:sz w:val="16"/>
                <w:szCs w:val="16"/>
              </w:rPr>
            </w:pPr>
          </w:p>
          <w:p w:rsidR="005C0789" w:rsidRPr="005C0789" w:rsidRDefault="005C0789" w:rsidP="005C0789">
            <w:pPr>
              <w:tabs>
                <w:tab w:val="left" w:pos="708"/>
                <w:tab w:val="right" w:pos="9072"/>
              </w:tabs>
              <w:adjustRightInd w:val="0"/>
              <w:spacing w:after="0"/>
              <w:ind w:left="360"/>
              <w:rPr>
                <w:rFonts w:ascii="Verdana" w:hAnsi="Verdana"/>
                <w:sz w:val="16"/>
                <w:szCs w:val="16"/>
              </w:rPr>
            </w:pPr>
          </w:p>
          <w:p w:rsidR="005C0789" w:rsidRDefault="005C0789" w:rsidP="005C0789">
            <w:pPr>
              <w:numPr>
                <w:ilvl w:val="0"/>
                <w:numId w:val="5"/>
              </w:numPr>
              <w:tabs>
                <w:tab w:val="left" w:pos="708"/>
                <w:tab w:val="right" w:pos="9072"/>
              </w:tabs>
              <w:adjustRightInd w:val="0"/>
              <w:spacing w:after="0"/>
              <w:rPr>
                <w:rFonts w:ascii="Verdana" w:hAnsi="Verdana"/>
                <w:sz w:val="16"/>
                <w:szCs w:val="16"/>
              </w:rPr>
            </w:pPr>
            <w:r w:rsidRPr="00222D72">
              <w:rPr>
                <w:rFonts w:ascii="Verdana" w:hAnsi="Verdana"/>
                <w:sz w:val="16"/>
                <w:szCs w:val="16"/>
              </w:rPr>
              <w:t>Vergunningen voor wijzigen monumenten legesvrij</w:t>
            </w:r>
          </w:p>
          <w:p w:rsidR="005C0789" w:rsidRDefault="005C0789" w:rsidP="005C0789">
            <w:pPr>
              <w:tabs>
                <w:tab w:val="left" w:pos="708"/>
                <w:tab w:val="right" w:pos="9072"/>
              </w:tabs>
              <w:adjustRightInd w:val="0"/>
              <w:spacing w:after="0"/>
              <w:ind w:left="360"/>
              <w:rPr>
                <w:rFonts w:ascii="Verdana" w:hAnsi="Verdana"/>
                <w:sz w:val="16"/>
                <w:szCs w:val="16"/>
              </w:rPr>
            </w:pPr>
          </w:p>
          <w:p w:rsidR="00505952" w:rsidRDefault="005C0789" w:rsidP="00AD4451">
            <w:pPr>
              <w:numPr>
                <w:ilvl w:val="0"/>
                <w:numId w:val="5"/>
              </w:numPr>
              <w:tabs>
                <w:tab w:val="left" w:pos="708"/>
                <w:tab w:val="right" w:pos="9072"/>
              </w:tabs>
              <w:adjustRightInd w:val="0"/>
              <w:spacing w:after="0"/>
              <w:rPr>
                <w:rFonts w:ascii="Verdana" w:hAnsi="Verdana"/>
                <w:sz w:val="16"/>
                <w:szCs w:val="16"/>
              </w:rPr>
            </w:pPr>
            <w:r>
              <w:rPr>
                <w:rFonts w:ascii="Verdana" w:hAnsi="Verdana"/>
                <w:sz w:val="16"/>
                <w:szCs w:val="16"/>
              </w:rPr>
              <w:t>Beleidsregels planologisch afwijkend gebruik monumentenpanden</w:t>
            </w:r>
            <w:r w:rsidR="002D4DB1">
              <w:rPr>
                <w:rFonts w:ascii="Verdana" w:hAnsi="Verdana"/>
                <w:sz w:val="16"/>
                <w:szCs w:val="16"/>
              </w:rPr>
              <w:t xml:space="preserve"> (2013)</w:t>
            </w:r>
          </w:p>
          <w:p w:rsidR="00AD4451" w:rsidRPr="00AD4451" w:rsidRDefault="00AD4451" w:rsidP="00AD4451">
            <w:pPr>
              <w:tabs>
                <w:tab w:val="left" w:pos="708"/>
                <w:tab w:val="right" w:pos="9072"/>
              </w:tabs>
              <w:adjustRightInd w:val="0"/>
              <w:spacing w:after="0"/>
              <w:rPr>
                <w:rFonts w:ascii="Verdana" w:hAnsi="Verdana"/>
                <w:sz w:val="16"/>
                <w:szCs w:val="16"/>
              </w:rPr>
            </w:pPr>
          </w:p>
          <w:p w:rsidR="00C117E6" w:rsidRDefault="00505952" w:rsidP="00F56FB2">
            <w:pPr>
              <w:numPr>
                <w:ilvl w:val="0"/>
                <w:numId w:val="5"/>
              </w:numPr>
              <w:tabs>
                <w:tab w:val="left" w:pos="708"/>
                <w:tab w:val="right" w:pos="9072"/>
              </w:tabs>
              <w:adjustRightInd w:val="0"/>
              <w:spacing w:after="0"/>
              <w:rPr>
                <w:rFonts w:ascii="Verdana" w:hAnsi="Verdana"/>
                <w:sz w:val="16"/>
                <w:szCs w:val="16"/>
              </w:rPr>
            </w:pPr>
            <w:r>
              <w:rPr>
                <w:rFonts w:ascii="Verdana" w:hAnsi="Verdana"/>
                <w:sz w:val="16"/>
                <w:szCs w:val="16"/>
              </w:rPr>
              <w:t>Inventarisatie: uitgave “Monumenten in Rijnwoude”</w:t>
            </w:r>
          </w:p>
          <w:p w:rsidR="00C73A79" w:rsidRPr="00C73A79" w:rsidRDefault="00C73A79" w:rsidP="00A0719B">
            <w:pPr>
              <w:tabs>
                <w:tab w:val="left" w:pos="708"/>
                <w:tab w:val="right" w:pos="9072"/>
              </w:tabs>
              <w:adjustRightInd w:val="0"/>
              <w:spacing w:after="0"/>
              <w:rPr>
                <w:rFonts w:ascii="Verdana" w:hAnsi="Verdana"/>
                <w:sz w:val="16"/>
                <w:szCs w:val="16"/>
              </w:rPr>
            </w:pPr>
          </w:p>
        </w:tc>
      </w:tr>
    </w:tbl>
    <w:p w:rsidR="00324E05" w:rsidRPr="003535EC" w:rsidRDefault="00324E05" w:rsidP="003535EC">
      <w:pPr>
        <w:rPr>
          <w:u w:val="single"/>
        </w:rPr>
      </w:pPr>
    </w:p>
    <w:p w:rsidR="00B61DE9" w:rsidRDefault="00785DE0" w:rsidP="00B61DE9">
      <w:pPr>
        <w:pStyle w:val="Lijstalinea"/>
        <w:rPr>
          <w:u w:val="single"/>
        </w:rPr>
      </w:pPr>
      <w:r>
        <w:rPr>
          <w:u w:val="single"/>
        </w:rPr>
        <w:t>Vertaald naar de nieuwe gemeente Alphen aan den Rijn is de situatie per  1 januari 2014 als volgt:</w:t>
      </w:r>
    </w:p>
    <w:p w:rsidR="00785DE0" w:rsidRDefault="00785DE0" w:rsidP="00B61DE9">
      <w:pPr>
        <w:pStyle w:val="Lijstalinea"/>
        <w:rPr>
          <w:u w:val="single"/>
        </w:rPr>
      </w:pPr>
    </w:p>
    <w:tbl>
      <w:tblPr>
        <w:tblStyle w:val="Tabelraster"/>
        <w:tblW w:w="0" w:type="auto"/>
        <w:tblInd w:w="108" w:type="dxa"/>
        <w:tblLook w:val="04A0" w:firstRow="1" w:lastRow="0" w:firstColumn="1" w:lastColumn="0" w:noHBand="0" w:noVBand="1"/>
      </w:tblPr>
      <w:tblGrid>
        <w:gridCol w:w="9072"/>
      </w:tblGrid>
      <w:tr w:rsidR="00785DE0" w:rsidTr="002B42D0">
        <w:tc>
          <w:tcPr>
            <w:tcW w:w="9072" w:type="dxa"/>
            <w:shd w:val="clear" w:color="auto" w:fill="A6A6A6" w:themeFill="background1" w:themeFillShade="A6"/>
          </w:tcPr>
          <w:p w:rsidR="00785DE0" w:rsidRPr="00CC48CA" w:rsidRDefault="00DC0365" w:rsidP="00B61DE9">
            <w:pPr>
              <w:pStyle w:val="Lijstalinea"/>
              <w:ind w:left="0"/>
            </w:pPr>
            <w:r>
              <w:t>R</w:t>
            </w:r>
            <w:r w:rsidR="00785DE0" w:rsidRPr="00CC48CA">
              <w:t>ijksmonumenten:</w:t>
            </w:r>
            <w:r w:rsidR="00CC48CA">
              <w:t xml:space="preserve"> 173, incl. archeologische monumenten</w:t>
            </w:r>
          </w:p>
          <w:p w:rsidR="00785DE0" w:rsidRPr="00CC48CA" w:rsidRDefault="00DC0365" w:rsidP="00B61DE9">
            <w:pPr>
              <w:pStyle w:val="Lijstalinea"/>
              <w:ind w:left="0"/>
            </w:pPr>
            <w:r>
              <w:t>G</w:t>
            </w:r>
            <w:r w:rsidR="00785DE0" w:rsidRPr="00CC48CA">
              <w:t>emeentelijke monumenten:</w:t>
            </w:r>
            <w:r w:rsidR="00CC48CA">
              <w:t xml:space="preserve"> 95</w:t>
            </w:r>
          </w:p>
          <w:p w:rsidR="00785DE0" w:rsidRPr="00CC48CA" w:rsidRDefault="00DC0365" w:rsidP="00B61DE9">
            <w:pPr>
              <w:pStyle w:val="Lijstalinea"/>
              <w:ind w:left="0"/>
            </w:pPr>
            <w:r>
              <w:t>S</w:t>
            </w:r>
            <w:r w:rsidR="00CC48CA" w:rsidRPr="00CC48CA">
              <w:t>tads- of dorpsgezichten</w:t>
            </w:r>
            <w:r w:rsidR="00CC48CA" w:rsidRPr="006B35A7">
              <w:t>: 0</w:t>
            </w:r>
          </w:p>
          <w:p w:rsidR="00CC48CA" w:rsidRPr="00CC48CA" w:rsidRDefault="00DC0365" w:rsidP="00CC48CA">
            <w:pPr>
              <w:pStyle w:val="Lijstalinea"/>
              <w:ind w:left="0"/>
            </w:pPr>
            <w:r>
              <w:t>G</w:t>
            </w:r>
            <w:r w:rsidR="00453C99" w:rsidRPr="00CC48CA">
              <w:t>eïnventariseerde</w:t>
            </w:r>
            <w:r w:rsidR="00CC48CA" w:rsidRPr="00CC48CA">
              <w:t xml:space="preserve"> panden/objecten </w:t>
            </w:r>
            <w:r w:rsidR="00CC48CA">
              <w:t>: ca.  488</w:t>
            </w:r>
            <w:r w:rsidR="00CC48CA" w:rsidRPr="00CC48CA">
              <w:t xml:space="preserve"> (waardevol erfgoed)</w:t>
            </w:r>
          </w:p>
          <w:p w:rsidR="007A504A" w:rsidRDefault="00A0719B" w:rsidP="00CC48CA">
            <w:pPr>
              <w:pStyle w:val="Lijstalinea"/>
              <w:ind w:left="0"/>
            </w:pPr>
            <w:r>
              <w:t xml:space="preserve">Verordeningen op de monumentencommissie </w:t>
            </w:r>
            <w:r w:rsidR="007A504A">
              <w:t>: 3</w:t>
            </w:r>
          </w:p>
          <w:p w:rsidR="00CC48CA" w:rsidRDefault="00DC0365" w:rsidP="00CC48CA">
            <w:pPr>
              <w:pStyle w:val="Lijstalinea"/>
              <w:ind w:left="0"/>
            </w:pPr>
            <w:r>
              <w:t>M</w:t>
            </w:r>
            <w:r w:rsidR="00CC48CA" w:rsidRPr="00CC48CA">
              <w:t>onumentencommissies:</w:t>
            </w:r>
            <w:r w:rsidR="00CC48CA">
              <w:t xml:space="preserve"> </w:t>
            </w:r>
            <w:r w:rsidR="00A0719B">
              <w:t xml:space="preserve">0 </w:t>
            </w:r>
          </w:p>
          <w:p w:rsidR="00CC48CA" w:rsidRDefault="00DC0365" w:rsidP="00453C99">
            <w:pPr>
              <w:pStyle w:val="Lijstalinea"/>
              <w:ind w:left="0"/>
            </w:pPr>
            <w:r>
              <w:t>M</w:t>
            </w:r>
            <w:r w:rsidR="00CC48CA">
              <w:t>onumentenverordeningen: 3</w:t>
            </w:r>
          </w:p>
          <w:p w:rsidR="00453C99" w:rsidRDefault="00DC0365" w:rsidP="00453C99">
            <w:pPr>
              <w:pStyle w:val="Lijstalinea"/>
              <w:ind w:left="0"/>
            </w:pPr>
            <w:r>
              <w:t>M</w:t>
            </w:r>
            <w:r w:rsidR="00453C99">
              <w:t>onumentensubsidieverordeningen: 2</w:t>
            </w:r>
          </w:p>
          <w:p w:rsidR="00453C99" w:rsidRPr="00CC48CA" w:rsidRDefault="00453C99" w:rsidP="00453C99">
            <w:pPr>
              <w:pStyle w:val="Lijstalinea"/>
              <w:ind w:left="0"/>
            </w:pPr>
          </w:p>
        </w:tc>
      </w:tr>
    </w:tbl>
    <w:p w:rsidR="00785DE0" w:rsidRDefault="00785DE0" w:rsidP="00B61DE9">
      <w:pPr>
        <w:pStyle w:val="Lijstalinea"/>
        <w:rPr>
          <w:u w:val="single"/>
        </w:rPr>
      </w:pPr>
    </w:p>
    <w:p w:rsidR="000A0F89" w:rsidRDefault="000A0F89" w:rsidP="00B61DE9">
      <w:pPr>
        <w:pStyle w:val="Lijstalinea"/>
        <w:rPr>
          <w:u w:val="single"/>
        </w:rPr>
      </w:pPr>
    </w:p>
    <w:p w:rsidR="00B61DE9" w:rsidRPr="00785DE0" w:rsidRDefault="00B61DE9" w:rsidP="002D4DB1">
      <w:pPr>
        <w:pStyle w:val="Lijstalinea"/>
        <w:numPr>
          <w:ilvl w:val="0"/>
          <w:numId w:val="2"/>
        </w:numPr>
        <w:rPr>
          <w:b/>
          <w:u w:val="single"/>
        </w:rPr>
      </w:pPr>
      <w:r w:rsidRPr="00785DE0">
        <w:rPr>
          <w:b/>
          <w:u w:val="single"/>
        </w:rPr>
        <w:t>Noodzakelijk te regelen vanuit wet- en regelgeving</w:t>
      </w:r>
    </w:p>
    <w:p w:rsidR="002D4DB1" w:rsidRDefault="002D4DB1" w:rsidP="002D4DB1">
      <w:pPr>
        <w:autoSpaceDE w:val="0"/>
        <w:autoSpaceDN w:val="0"/>
        <w:adjustRightInd w:val="0"/>
        <w:spacing w:line="280" w:lineRule="atLeast"/>
        <w:rPr>
          <w:rFonts w:ascii="Verdana" w:hAnsi="Verdana" w:cs="Arial"/>
          <w:color w:val="000000"/>
          <w:sz w:val="18"/>
          <w:szCs w:val="18"/>
        </w:rPr>
      </w:pPr>
      <w:r>
        <w:rPr>
          <w:rFonts w:ascii="Verdana" w:hAnsi="Verdana" w:cs="Arial"/>
          <w:color w:val="000000"/>
          <w:sz w:val="18"/>
          <w:szCs w:val="18"/>
        </w:rPr>
        <w:t xml:space="preserve">In nationale wetgeving is de zorg voor </w:t>
      </w:r>
      <w:r w:rsidR="001C4882">
        <w:rPr>
          <w:rFonts w:ascii="Verdana" w:hAnsi="Verdana" w:cs="Arial"/>
          <w:color w:val="000000"/>
          <w:sz w:val="18"/>
          <w:szCs w:val="18"/>
        </w:rPr>
        <w:t>A</w:t>
      </w:r>
      <w:r>
        <w:rPr>
          <w:rFonts w:ascii="Verdana" w:hAnsi="Verdana" w:cs="Arial"/>
          <w:color w:val="000000"/>
          <w:sz w:val="18"/>
          <w:szCs w:val="18"/>
        </w:rPr>
        <w:t xml:space="preserve">rcheologie, </w:t>
      </w:r>
      <w:r w:rsidR="001C4882">
        <w:rPr>
          <w:rFonts w:ascii="Verdana" w:hAnsi="Verdana" w:cs="Arial"/>
          <w:color w:val="000000"/>
          <w:sz w:val="18"/>
          <w:szCs w:val="18"/>
        </w:rPr>
        <w:t>C</w:t>
      </w:r>
      <w:r>
        <w:rPr>
          <w:rFonts w:ascii="Verdana" w:hAnsi="Verdana" w:cs="Arial"/>
          <w:color w:val="000000"/>
          <w:sz w:val="18"/>
          <w:szCs w:val="18"/>
        </w:rPr>
        <w:t xml:space="preserve">ultuurhistorie en </w:t>
      </w:r>
      <w:r w:rsidR="001C4882">
        <w:rPr>
          <w:rFonts w:ascii="Verdana" w:hAnsi="Verdana" w:cs="Arial"/>
          <w:color w:val="000000"/>
          <w:sz w:val="18"/>
          <w:szCs w:val="18"/>
        </w:rPr>
        <w:t>M</w:t>
      </w:r>
      <w:r>
        <w:rPr>
          <w:rFonts w:ascii="Verdana" w:hAnsi="Verdana" w:cs="Arial"/>
          <w:color w:val="000000"/>
          <w:sz w:val="18"/>
          <w:szCs w:val="18"/>
        </w:rPr>
        <w:t>onumenten geregeld in de Monumentenwet 1988 (</w:t>
      </w:r>
      <w:proofErr w:type="spellStart"/>
      <w:r>
        <w:rPr>
          <w:rFonts w:ascii="Verdana" w:hAnsi="Verdana" w:cs="Arial"/>
          <w:color w:val="000000"/>
          <w:sz w:val="18"/>
          <w:szCs w:val="18"/>
        </w:rPr>
        <w:t>Mw</w:t>
      </w:r>
      <w:proofErr w:type="spellEnd"/>
      <w:r>
        <w:rPr>
          <w:rFonts w:ascii="Verdana" w:hAnsi="Verdana" w:cs="Arial"/>
          <w:color w:val="000000"/>
          <w:sz w:val="18"/>
          <w:szCs w:val="18"/>
        </w:rPr>
        <w:t xml:space="preserve"> 1988), de Wet Ruimtelijke ordening (</w:t>
      </w:r>
      <w:proofErr w:type="spellStart"/>
      <w:r>
        <w:rPr>
          <w:rFonts w:ascii="Verdana" w:hAnsi="Verdana" w:cs="Arial"/>
          <w:color w:val="000000"/>
          <w:sz w:val="18"/>
          <w:szCs w:val="18"/>
        </w:rPr>
        <w:t>Wro</w:t>
      </w:r>
      <w:proofErr w:type="spellEnd"/>
      <w:r>
        <w:rPr>
          <w:rFonts w:ascii="Verdana" w:hAnsi="Verdana" w:cs="Arial"/>
          <w:color w:val="000000"/>
          <w:sz w:val="18"/>
          <w:szCs w:val="18"/>
        </w:rPr>
        <w:t>), het Besluit ruimtelijke ordening (</w:t>
      </w:r>
      <w:proofErr w:type="spellStart"/>
      <w:r>
        <w:rPr>
          <w:rFonts w:ascii="Verdana" w:hAnsi="Verdana" w:cs="Arial"/>
          <w:color w:val="000000"/>
          <w:sz w:val="18"/>
          <w:szCs w:val="18"/>
        </w:rPr>
        <w:t>Bro</w:t>
      </w:r>
      <w:proofErr w:type="spellEnd"/>
      <w:r>
        <w:rPr>
          <w:rFonts w:ascii="Verdana" w:hAnsi="Verdana" w:cs="Arial"/>
          <w:color w:val="000000"/>
          <w:sz w:val="18"/>
          <w:szCs w:val="18"/>
        </w:rPr>
        <w:t>), de Wet algemene bepalingen omgevingsrecht (</w:t>
      </w:r>
      <w:proofErr w:type="spellStart"/>
      <w:r>
        <w:rPr>
          <w:rFonts w:ascii="Verdana" w:hAnsi="Verdana" w:cs="Arial"/>
          <w:color w:val="000000"/>
          <w:sz w:val="18"/>
          <w:szCs w:val="18"/>
        </w:rPr>
        <w:t>Wabo</w:t>
      </w:r>
      <w:proofErr w:type="spellEnd"/>
      <w:r>
        <w:rPr>
          <w:rFonts w:ascii="Verdana" w:hAnsi="Verdana" w:cs="Arial"/>
          <w:color w:val="000000"/>
          <w:sz w:val="18"/>
          <w:szCs w:val="18"/>
        </w:rPr>
        <w:t>), het Besluit omgevingsrecht (</w:t>
      </w:r>
      <w:proofErr w:type="spellStart"/>
      <w:r>
        <w:rPr>
          <w:rFonts w:ascii="Verdana" w:hAnsi="Verdana" w:cs="Arial"/>
          <w:color w:val="000000"/>
          <w:sz w:val="18"/>
          <w:szCs w:val="18"/>
        </w:rPr>
        <w:t>Bor</w:t>
      </w:r>
      <w:proofErr w:type="spellEnd"/>
      <w:r>
        <w:rPr>
          <w:rFonts w:ascii="Verdana" w:hAnsi="Verdana" w:cs="Arial"/>
          <w:color w:val="000000"/>
          <w:sz w:val="18"/>
          <w:szCs w:val="18"/>
        </w:rPr>
        <w:t>), de Regeling omgevingsrecht (</w:t>
      </w:r>
      <w:proofErr w:type="spellStart"/>
      <w:r>
        <w:rPr>
          <w:rFonts w:ascii="Verdana" w:hAnsi="Verdana" w:cs="Arial"/>
          <w:color w:val="000000"/>
          <w:sz w:val="18"/>
          <w:szCs w:val="18"/>
        </w:rPr>
        <w:t>Ro</w:t>
      </w:r>
      <w:proofErr w:type="spellEnd"/>
      <w:r>
        <w:rPr>
          <w:rFonts w:ascii="Verdana" w:hAnsi="Verdana" w:cs="Arial"/>
          <w:color w:val="000000"/>
          <w:sz w:val="18"/>
          <w:szCs w:val="18"/>
        </w:rPr>
        <w:t>) en de Algemene wet bestuursrecht (</w:t>
      </w:r>
      <w:proofErr w:type="spellStart"/>
      <w:r>
        <w:rPr>
          <w:rFonts w:ascii="Verdana" w:hAnsi="Verdana" w:cs="Arial"/>
          <w:color w:val="000000"/>
          <w:sz w:val="18"/>
          <w:szCs w:val="18"/>
        </w:rPr>
        <w:t>Awb</w:t>
      </w:r>
      <w:proofErr w:type="spellEnd"/>
      <w:r>
        <w:rPr>
          <w:rFonts w:ascii="Verdana" w:hAnsi="Verdana" w:cs="Arial"/>
          <w:color w:val="000000"/>
          <w:sz w:val="18"/>
          <w:szCs w:val="18"/>
        </w:rPr>
        <w:t>).</w:t>
      </w:r>
    </w:p>
    <w:p w:rsidR="00505952" w:rsidRDefault="002D4DB1" w:rsidP="00505952">
      <w:pPr>
        <w:adjustRightInd w:val="0"/>
        <w:spacing w:line="280" w:lineRule="atLeast"/>
        <w:rPr>
          <w:rFonts w:ascii="Verdana" w:hAnsi="Verdana" w:cs="Arial"/>
          <w:color w:val="000000"/>
          <w:sz w:val="18"/>
          <w:szCs w:val="18"/>
        </w:rPr>
      </w:pPr>
      <w:r>
        <w:rPr>
          <w:rFonts w:ascii="Verdana" w:hAnsi="Verdana" w:cs="Arial"/>
          <w:color w:val="000000"/>
          <w:sz w:val="18"/>
          <w:szCs w:val="18"/>
        </w:rPr>
        <w:t xml:space="preserve">De Mw1988 verplicht gemeenten op grond van artikel 15 een verordening vast te stellen die regelt dat een onafhankelijke commissie van deskundigen wordt ingesteld op het gebied van de monumentenzorg (monumentencommissie). Gemeenten verlenen op grond van de </w:t>
      </w:r>
      <w:proofErr w:type="spellStart"/>
      <w:r>
        <w:rPr>
          <w:rFonts w:ascii="Verdana" w:hAnsi="Verdana" w:cs="Arial"/>
          <w:color w:val="000000"/>
          <w:sz w:val="18"/>
          <w:szCs w:val="18"/>
        </w:rPr>
        <w:t>Wabo</w:t>
      </w:r>
      <w:proofErr w:type="spellEnd"/>
      <w:r>
        <w:rPr>
          <w:rFonts w:ascii="Verdana" w:hAnsi="Verdana" w:cs="Arial"/>
          <w:color w:val="000000"/>
          <w:sz w:val="18"/>
          <w:szCs w:val="18"/>
        </w:rPr>
        <w:t xml:space="preserve">, artikel 2.1 lid1 sub f, na het inwinnen van advies van de monumentencommissie (artikel 15 lid 2 </w:t>
      </w:r>
      <w:proofErr w:type="spellStart"/>
      <w:r>
        <w:rPr>
          <w:rFonts w:ascii="Verdana" w:hAnsi="Verdana" w:cs="Arial"/>
          <w:color w:val="000000"/>
          <w:sz w:val="18"/>
          <w:szCs w:val="18"/>
        </w:rPr>
        <w:t>Mw</w:t>
      </w:r>
      <w:proofErr w:type="spellEnd"/>
      <w:r>
        <w:rPr>
          <w:rFonts w:ascii="Verdana" w:hAnsi="Verdana" w:cs="Arial"/>
          <w:color w:val="000000"/>
          <w:sz w:val="18"/>
          <w:szCs w:val="18"/>
        </w:rPr>
        <w:t xml:space="preserve"> 1988), een vergunning voor het wijzigen van rijksmonumenten tenzij er een vergunning wordt aangevraagd voor de sloop, een ingrijpende wijziging, een nieuwe bestemming of het reconstrueren van een rijksmonument. Dan dient de Rijksdienst voor het Cultureel Erfgoed te adviseren.</w:t>
      </w:r>
    </w:p>
    <w:tbl>
      <w:tblPr>
        <w:tblStyle w:val="Tabelraster"/>
        <w:tblW w:w="0" w:type="auto"/>
        <w:shd w:val="clear" w:color="auto" w:fill="A6A6A6" w:themeFill="background1" w:themeFillShade="A6"/>
        <w:tblLook w:val="04A0" w:firstRow="1" w:lastRow="0" w:firstColumn="1" w:lastColumn="0" w:noHBand="0" w:noVBand="1"/>
      </w:tblPr>
      <w:tblGrid>
        <w:gridCol w:w="1155"/>
        <w:gridCol w:w="8133"/>
      </w:tblGrid>
      <w:tr w:rsidR="00675BA6" w:rsidRPr="00675BA6" w:rsidTr="00773742">
        <w:tc>
          <w:tcPr>
            <w:tcW w:w="0" w:type="auto"/>
            <w:shd w:val="clear" w:color="auto" w:fill="A6A6A6" w:themeFill="background1" w:themeFillShade="A6"/>
          </w:tcPr>
          <w:p w:rsidR="00675BA6" w:rsidRPr="00675BA6" w:rsidRDefault="00675BA6" w:rsidP="00675BA6">
            <w:pPr>
              <w:adjustRightInd w:val="0"/>
              <w:spacing w:after="200" w:line="280" w:lineRule="atLeast"/>
              <w:rPr>
                <w:rFonts w:ascii="Verdana" w:hAnsi="Verdana" w:cs="Arial"/>
                <w:color w:val="000000"/>
                <w:sz w:val="18"/>
                <w:szCs w:val="18"/>
              </w:rPr>
            </w:pPr>
            <w:r w:rsidRPr="00675BA6">
              <w:rPr>
                <w:rFonts w:ascii="Verdana" w:hAnsi="Verdana" w:cs="Arial"/>
                <w:color w:val="000000"/>
                <w:sz w:val="18"/>
                <w:szCs w:val="18"/>
              </w:rPr>
              <w:t>Conclusie:</w:t>
            </w:r>
          </w:p>
          <w:p w:rsidR="00675BA6" w:rsidRPr="00675BA6" w:rsidRDefault="00675BA6" w:rsidP="00675BA6">
            <w:pPr>
              <w:adjustRightInd w:val="0"/>
              <w:spacing w:after="200" w:line="280" w:lineRule="atLeast"/>
              <w:rPr>
                <w:rFonts w:ascii="Verdana" w:hAnsi="Verdana" w:cs="Arial"/>
                <w:color w:val="000000"/>
                <w:sz w:val="18"/>
                <w:szCs w:val="18"/>
              </w:rPr>
            </w:pPr>
          </w:p>
        </w:tc>
        <w:tc>
          <w:tcPr>
            <w:tcW w:w="0" w:type="auto"/>
            <w:shd w:val="clear" w:color="auto" w:fill="A6A6A6" w:themeFill="background1" w:themeFillShade="A6"/>
          </w:tcPr>
          <w:p w:rsidR="00675BA6" w:rsidRPr="00675BA6" w:rsidRDefault="00675BA6" w:rsidP="001C4882">
            <w:pPr>
              <w:adjustRightInd w:val="0"/>
              <w:spacing w:after="200" w:line="280" w:lineRule="atLeast"/>
              <w:rPr>
                <w:rFonts w:ascii="Verdana" w:hAnsi="Verdana" w:cs="Arial"/>
                <w:color w:val="000000"/>
                <w:sz w:val="18"/>
                <w:szCs w:val="18"/>
              </w:rPr>
            </w:pPr>
            <w:r>
              <w:rPr>
                <w:rFonts w:ascii="Verdana" w:hAnsi="Verdana" w:cs="Arial"/>
                <w:color w:val="000000"/>
                <w:sz w:val="18"/>
                <w:szCs w:val="18"/>
              </w:rPr>
              <w:t xml:space="preserve">De Monumentenwet 1988 verplicht de gemeente tot het vaststellen van monumenten (erfgoed) verordening. Dit betekent dat de nieuwe gemeente Alphen aan den Rijn </w:t>
            </w:r>
            <w:r w:rsidR="002B42D0">
              <w:rPr>
                <w:rFonts w:ascii="Verdana" w:hAnsi="Verdana" w:cs="Arial"/>
                <w:color w:val="000000"/>
                <w:sz w:val="18"/>
                <w:szCs w:val="18"/>
              </w:rPr>
              <w:t xml:space="preserve">binnen maximaal 2 jaar na datum herindeling een </w:t>
            </w:r>
            <w:r w:rsidR="001C4882">
              <w:rPr>
                <w:rFonts w:ascii="Verdana" w:hAnsi="Verdana" w:cs="Arial"/>
                <w:color w:val="000000"/>
                <w:sz w:val="18"/>
                <w:szCs w:val="18"/>
              </w:rPr>
              <w:t>M</w:t>
            </w:r>
            <w:r w:rsidR="002B42D0">
              <w:rPr>
                <w:rFonts w:ascii="Verdana" w:hAnsi="Verdana" w:cs="Arial"/>
                <w:color w:val="000000"/>
                <w:sz w:val="18"/>
                <w:szCs w:val="18"/>
              </w:rPr>
              <w:t>onumentenverordening dient vast te stellen, onder intrekking van de (oude) verordeningen van de fusiegemeenten, indien deze nog niet van rechtswege zijn vervallen.</w:t>
            </w:r>
            <w:r w:rsidRPr="00675BA6">
              <w:rPr>
                <w:rFonts w:ascii="Verdana" w:hAnsi="Verdana" w:cs="Arial"/>
                <w:color w:val="000000"/>
                <w:sz w:val="18"/>
                <w:szCs w:val="18"/>
              </w:rPr>
              <w:t xml:space="preserve"> </w:t>
            </w:r>
          </w:p>
        </w:tc>
      </w:tr>
    </w:tbl>
    <w:p w:rsidR="00324E05" w:rsidRPr="00505952" w:rsidRDefault="00324E05" w:rsidP="00505952">
      <w:pPr>
        <w:adjustRightInd w:val="0"/>
        <w:spacing w:line="280" w:lineRule="atLeast"/>
        <w:rPr>
          <w:rFonts w:ascii="Verdana" w:hAnsi="Verdana" w:cs="Arial"/>
          <w:color w:val="000000"/>
          <w:sz w:val="18"/>
          <w:szCs w:val="18"/>
        </w:rPr>
      </w:pPr>
    </w:p>
    <w:p w:rsidR="00B61DE9" w:rsidRDefault="00B61DE9" w:rsidP="00AD4451">
      <w:pPr>
        <w:pStyle w:val="Lijstalinea"/>
        <w:numPr>
          <w:ilvl w:val="0"/>
          <w:numId w:val="2"/>
        </w:numPr>
        <w:rPr>
          <w:b/>
          <w:u w:val="single"/>
        </w:rPr>
      </w:pPr>
      <w:r w:rsidRPr="00785DE0">
        <w:rPr>
          <w:b/>
          <w:u w:val="single"/>
        </w:rPr>
        <w:t>Het ambitieniveau</w:t>
      </w:r>
    </w:p>
    <w:p w:rsidR="00C41EA8" w:rsidRPr="00C41EA8" w:rsidRDefault="00C41EA8" w:rsidP="00C41EA8">
      <w:pPr>
        <w:rPr>
          <w:b/>
          <w:u w:val="single"/>
        </w:rPr>
      </w:pPr>
      <w:r>
        <w:rPr>
          <w:b/>
          <w:u w:val="single"/>
        </w:rPr>
        <w:t>Monumenten</w:t>
      </w:r>
    </w:p>
    <w:p w:rsidR="001C4882" w:rsidRDefault="00BA0857" w:rsidP="00BA0857">
      <w:r w:rsidRPr="003D4D9B">
        <w:t xml:space="preserve">De vraag is </w:t>
      </w:r>
      <w:r w:rsidR="003D4D9B" w:rsidRPr="003D4D9B">
        <w:t>hoever</w:t>
      </w:r>
      <w:r w:rsidR="00A0719B">
        <w:t xml:space="preserve">re </w:t>
      </w:r>
      <w:r w:rsidR="003D4D9B" w:rsidRPr="003D4D9B">
        <w:t xml:space="preserve"> bij het harmoniseren van beleid  het ambitieniveau strekt.</w:t>
      </w:r>
      <w:r w:rsidR="003D4D9B">
        <w:t xml:space="preserve"> </w:t>
      </w:r>
      <w:r w:rsidR="003D4D9B" w:rsidRPr="003D4D9B">
        <w:t xml:space="preserve"> Uiteraard is </w:t>
      </w:r>
      <w:r w:rsidR="003D4D9B">
        <w:t xml:space="preserve">het ambitieniveau </w:t>
      </w:r>
      <w:r w:rsidR="003D4D9B" w:rsidRPr="003D4D9B">
        <w:t xml:space="preserve"> afhankelijk van verschillende factoren, waaronder het collegeprogramma  en het beschikbare budget.  </w:t>
      </w:r>
    </w:p>
    <w:p w:rsidR="001C4882" w:rsidRDefault="001C4882" w:rsidP="00BA0857">
      <w:r>
        <w:t>In het collegeprogra</w:t>
      </w:r>
      <w:r w:rsidR="00445D88">
        <w:t>mma wordt de aandacht voor het beleidsterrein Monumentenzorg benoemd, maar niet nader gedetailleerd.</w:t>
      </w:r>
    </w:p>
    <w:p w:rsidR="00BA0857" w:rsidRPr="003D4D9B" w:rsidRDefault="003D4D9B" w:rsidP="00BA0857">
      <w:r w:rsidRPr="003D4D9B">
        <w:t xml:space="preserve">Globaal zijn </w:t>
      </w:r>
      <w:r>
        <w:t xml:space="preserve"> voor  het beleidsterrein Monumentenzorg </w:t>
      </w:r>
      <w:r w:rsidRPr="003D4D9B">
        <w:t>de volgende beleidsvarianten te onderscheiden:</w:t>
      </w:r>
    </w:p>
    <w:p w:rsidR="00AD4451" w:rsidRDefault="00AD4451" w:rsidP="00AD4451">
      <w:pPr>
        <w:pStyle w:val="Lijstalinea"/>
        <w:numPr>
          <w:ilvl w:val="0"/>
          <w:numId w:val="6"/>
        </w:numPr>
      </w:pPr>
      <w:r w:rsidRPr="00AD4451">
        <w:t>Volwaardi</w:t>
      </w:r>
      <w:r>
        <w:t>g gemeentelijk monumentenbeleid;</w:t>
      </w:r>
    </w:p>
    <w:p w:rsidR="00AD4451" w:rsidRDefault="00AD4451" w:rsidP="00AD4451">
      <w:pPr>
        <w:pStyle w:val="Lijstalinea"/>
        <w:numPr>
          <w:ilvl w:val="0"/>
          <w:numId w:val="6"/>
        </w:numPr>
      </w:pPr>
      <w:proofErr w:type="spellStart"/>
      <w:r>
        <w:t>Middenbeleid</w:t>
      </w:r>
      <w:proofErr w:type="spellEnd"/>
      <w:r>
        <w:t>;</w:t>
      </w:r>
    </w:p>
    <w:p w:rsidR="00AD4451" w:rsidRDefault="00AD4451" w:rsidP="00AD4451">
      <w:pPr>
        <w:pStyle w:val="Lijstalinea"/>
        <w:numPr>
          <w:ilvl w:val="0"/>
          <w:numId w:val="6"/>
        </w:numPr>
      </w:pPr>
      <w:proofErr w:type="spellStart"/>
      <w:r>
        <w:t>Middenbeleid</w:t>
      </w:r>
      <w:proofErr w:type="spellEnd"/>
      <w:r w:rsidR="00C326E3">
        <w:t xml:space="preserve"> Min;</w:t>
      </w:r>
    </w:p>
    <w:p w:rsidR="00AD4451" w:rsidRPr="00AD4451" w:rsidRDefault="00C326E3" w:rsidP="00AD4451">
      <w:pPr>
        <w:pStyle w:val="Lijstalinea"/>
        <w:numPr>
          <w:ilvl w:val="0"/>
          <w:numId w:val="6"/>
        </w:numPr>
      </w:pPr>
      <w:r>
        <w:t>Gé</w:t>
      </w:r>
      <w:r>
        <w:rPr>
          <w:rFonts w:ascii="Calibri" w:hAnsi="Calibri" w:cs="Calibri"/>
        </w:rPr>
        <w:t>é</w:t>
      </w:r>
      <w:r>
        <w:t>n beleid.</w:t>
      </w:r>
    </w:p>
    <w:p w:rsidR="00AD4451" w:rsidRPr="00C326E3" w:rsidRDefault="00AD4451" w:rsidP="00AD4451">
      <w:pPr>
        <w:rPr>
          <w:i/>
          <w:u w:val="single"/>
        </w:rPr>
      </w:pPr>
      <w:r w:rsidRPr="00C326E3">
        <w:rPr>
          <w:i/>
          <w:u w:val="single"/>
        </w:rPr>
        <w:t>Volwaardig gemeentelijk monumentenbeleid</w:t>
      </w:r>
    </w:p>
    <w:p w:rsidR="00AD4451" w:rsidRPr="00AD4451" w:rsidRDefault="00AD4451" w:rsidP="00AD4451">
      <w:r w:rsidRPr="00AD4451">
        <w:t>Een volwaardig gemeentelijk monumentenbeleid houdt in</w:t>
      </w:r>
      <w:r w:rsidR="00C326E3">
        <w:t>,</w:t>
      </w:r>
      <w:r w:rsidRPr="00AD4451">
        <w:t xml:space="preserve"> dat </w:t>
      </w:r>
      <w:r w:rsidR="003D6FE8">
        <w:t xml:space="preserve">minimaal </w:t>
      </w:r>
      <w:r w:rsidRPr="00AD4451">
        <w:t>de volgende drie componenten zijn geregeld:</w:t>
      </w:r>
    </w:p>
    <w:p w:rsidR="00695D4B" w:rsidRPr="00AD4451" w:rsidRDefault="00AD4451" w:rsidP="00AD4451">
      <w:r w:rsidRPr="00AD4451">
        <w:t xml:space="preserve">- </w:t>
      </w:r>
      <w:r w:rsidR="00445D88">
        <w:t>h</w:t>
      </w:r>
      <w:r w:rsidRPr="00AD4451">
        <w:t>et vaststellen van een geme</w:t>
      </w:r>
      <w:r w:rsidR="00695D4B">
        <w:t>entelijke monumentenverordening;</w:t>
      </w:r>
    </w:p>
    <w:p w:rsidR="00AD4451" w:rsidRPr="00AD4451" w:rsidRDefault="00AD4451" w:rsidP="00AD4451">
      <w:r w:rsidRPr="00AD4451">
        <w:t xml:space="preserve">- </w:t>
      </w:r>
      <w:r w:rsidR="00445D88">
        <w:t>h</w:t>
      </w:r>
      <w:r w:rsidRPr="00AD4451">
        <w:t>et instel</w:t>
      </w:r>
      <w:r w:rsidR="00695D4B">
        <w:t>len van een monumentencommissie;</w:t>
      </w:r>
    </w:p>
    <w:p w:rsidR="00AD4451" w:rsidRDefault="00AD4451" w:rsidP="00AD4451">
      <w:r w:rsidRPr="00AD4451">
        <w:t xml:space="preserve">- </w:t>
      </w:r>
      <w:r w:rsidR="00445D88">
        <w:t>h</w:t>
      </w:r>
      <w:r w:rsidRPr="00AD4451">
        <w:t>et aanwijzen van gemeentelijke monumenten (gemeentelijke monumentenlijst).</w:t>
      </w:r>
    </w:p>
    <w:p w:rsidR="002B42D0" w:rsidRPr="00324E05" w:rsidRDefault="003D6FE8" w:rsidP="00AD4451">
      <w:r>
        <w:t xml:space="preserve">Het beleid kan dan nog worden aangevuld met faciliteiten voor de eigenaar, zowel in materiele – als in immateriële zin.  </w:t>
      </w:r>
    </w:p>
    <w:p w:rsidR="00AD4451" w:rsidRPr="00C326E3" w:rsidRDefault="00AD4451" w:rsidP="00AD4451">
      <w:pPr>
        <w:rPr>
          <w:i/>
          <w:u w:val="single"/>
        </w:rPr>
      </w:pPr>
      <w:proofErr w:type="spellStart"/>
      <w:r w:rsidRPr="00C326E3">
        <w:rPr>
          <w:i/>
          <w:u w:val="single"/>
        </w:rPr>
        <w:t>Middenbeleid</w:t>
      </w:r>
      <w:proofErr w:type="spellEnd"/>
    </w:p>
    <w:p w:rsidR="00C326E3" w:rsidRPr="00695D4B" w:rsidRDefault="00AD4451" w:rsidP="00AD4451">
      <w:r w:rsidRPr="00AD4451">
        <w:t>Bij een ‘</w:t>
      </w:r>
      <w:proofErr w:type="spellStart"/>
      <w:r w:rsidRPr="00AD4451">
        <w:t>middenbeleid</w:t>
      </w:r>
      <w:proofErr w:type="spellEnd"/>
      <w:r w:rsidRPr="00AD4451">
        <w:t xml:space="preserve">’ houden gemeenten zich aan de wettelijke verplichtingen uit de Monumentenwet 1988, namelijk het vaststellen van een verordening en het instellen van een commissie. </w:t>
      </w:r>
    </w:p>
    <w:p w:rsidR="00C326E3" w:rsidRDefault="00AD4451" w:rsidP="00AD4451">
      <w:pPr>
        <w:rPr>
          <w:i/>
          <w:u w:val="single"/>
        </w:rPr>
      </w:pPr>
      <w:proofErr w:type="spellStart"/>
      <w:r w:rsidRPr="00C326E3">
        <w:rPr>
          <w:i/>
          <w:u w:val="single"/>
        </w:rPr>
        <w:t>Middenbeleid</w:t>
      </w:r>
      <w:proofErr w:type="spellEnd"/>
      <w:r w:rsidR="00C326E3" w:rsidRPr="00C326E3">
        <w:rPr>
          <w:i/>
          <w:u w:val="single"/>
        </w:rPr>
        <w:t xml:space="preserve"> </w:t>
      </w:r>
      <w:r w:rsidRPr="00C326E3">
        <w:rPr>
          <w:i/>
          <w:u w:val="single"/>
        </w:rPr>
        <w:t xml:space="preserve"> Min</w:t>
      </w:r>
    </w:p>
    <w:p w:rsidR="00AD4451" w:rsidRPr="00C326E3" w:rsidRDefault="00AD4451" w:rsidP="00AD4451">
      <w:pPr>
        <w:rPr>
          <w:i/>
          <w:u w:val="single"/>
        </w:rPr>
      </w:pPr>
      <w:r w:rsidRPr="00AD4451">
        <w:t>Bij een ‘</w:t>
      </w:r>
      <w:proofErr w:type="spellStart"/>
      <w:r w:rsidRPr="00AD4451">
        <w:t>middenbeleid</w:t>
      </w:r>
      <w:proofErr w:type="spellEnd"/>
      <w:r w:rsidRPr="00AD4451">
        <w:t xml:space="preserve"> min’ gaat het om gemeenten die alleen een verordening hebben vastgesteld. Met een verordening kunnen gemeenten voor hun rijksmonumenten een </w:t>
      </w:r>
      <w:r w:rsidR="003D6FE8">
        <w:t xml:space="preserve">omgevingsvergunning </w:t>
      </w:r>
      <w:r w:rsidRPr="00AD4451">
        <w:t xml:space="preserve"> verlenen.</w:t>
      </w:r>
      <w:r w:rsidR="003D6FE8">
        <w:t xml:space="preserve"> Advisering over een omgevingsvergunning kan op ad-hoc  basis plaatsvinden door de Vereniging Dorp, Stad &amp; Land in plaats van door een gemeentelijke monumentencommissie.</w:t>
      </w:r>
    </w:p>
    <w:p w:rsidR="00AD4451" w:rsidRPr="00C326E3" w:rsidRDefault="00AD4451" w:rsidP="00AD4451">
      <w:pPr>
        <w:rPr>
          <w:i/>
          <w:u w:val="single"/>
        </w:rPr>
      </w:pPr>
      <w:r w:rsidRPr="00C326E3">
        <w:rPr>
          <w:i/>
          <w:u w:val="single"/>
        </w:rPr>
        <w:t>Géén beleid</w:t>
      </w:r>
    </w:p>
    <w:p w:rsidR="00A0719B" w:rsidRDefault="00AD4451" w:rsidP="00AD4451">
      <w:r w:rsidRPr="00AD4451">
        <w:t>Er zijn ook gemeenten die tot voor kort géén enkel beleid voerden (vanaf 2009 zijn alle gemeenten wettelijk verplicht om een verordening te hebben). Deze vaak kleinere gemeenten, met relatief weinig rijksmonumenten, hebben (nog) géén verordening vastgesteld, hebben géén commissie en hebben ook geen gemeentelijke monumenten.</w:t>
      </w:r>
    </w:p>
    <w:p w:rsidR="000A0F89" w:rsidRPr="000A0F89" w:rsidRDefault="000A0F89" w:rsidP="00AD4451"/>
    <w:p w:rsidR="00241503" w:rsidRPr="000A0F89" w:rsidRDefault="000A0F89" w:rsidP="000A0F89">
      <w:pPr>
        <w:ind w:firstLine="708"/>
        <w:rPr>
          <w:b/>
          <w:u w:val="single"/>
        </w:rPr>
      </w:pPr>
      <w:r w:rsidRPr="000A0F89">
        <w:rPr>
          <w:b/>
          <w:u w:val="single"/>
        </w:rPr>
        <w:t xml:space="preserve">6 . </w:t>
      </w:r>
      <w:r w:rsidR="00A0719B" w:rsidRPr="000A0F89">
        <w:rPr>
          <w:b/>
          <w:u w:val="single"/>
        </w:rPr>
        <w:t xml:space="preserve">Ambitie </w:t>
      </w:r>
      <w:r w:rsidR="00241503" w:rsidRPr="000A0F89">
        <w:rPr>
          <w:b/>
          <w:u w:val="single"/>
        </w:rPr>
        <w:t xml:space="preserve"> voor de gemeente Alphen aan den Rijn</w:t>
      </w:r>
    </w:p>
    <w:p w:rsidR="003D6FE8" w:rsidRDefault="003D6FE8" w:rsidP="00AD4451">
      <w:r>
        <w:t>Voor de gemeente Alphen aan den Rijn ligt het voor de hand om te kiezen voor een volwaardig gemeentelijk mo</w:t>
      </w:r>
      <w:r w:rsidR="00241503">
        <w:t xml:space="preserve">numentenbeleid, zoals overigens het geval is bij het merendeel  van de </w:t>
      </w:r>
      <w:r w:rsidR="00712AA5">
        <w:t>(</w:t>
      </w:r>
      <w:r w:rsidR="00241503">
        <w:t>Zuid-Hollandse</w:t>
      </w:r>
      <w:r w:rsidR="00712AA5">
        <w:t xml:space="preserve">) </w:t>
      </w:r>
      <w:r w:rsidR="00241503">
        <w:t xml:space="preserve"> gemeenten. Immers een gemeente met een omvang van 107.000 inwoners en een groot potentieel aan cultuurhistorisch erfgoed is dit eigenlijk aan zichzelf verplicht.</w:t>
      </w:r>
      <w:r w:rsidR="00584D1A">
        <w:t xml:space="preserve"> </w:t>
      </w:r>
    </w:p>
    <w:p w:rsidR="00241503" w:rsidRDefault="00241503" w:rsidP="00AD4451">
      <w:r>
        <w:t>De keuze voor een volwaardig gemeentelijk monumentenbeleid staat niet in de weg dat dit beleid sober en doelmatig kan zijn.</w:t>
      </w:r>
    </w:p>
    <w:p w:rsidR="001D28C2" w:rsidRDefault="001D28C2" w:rsidP="00AD4451">
      <w:r>
        <w:t>Een volwaardig gemeentelijk monumentenbeleid impliceert dus voor de nieuwe gemeente Alphen aan den Rijn:</w:t>
      </w:r>
    </w:p>
    <w:p w:rsidR="001D28C2" w:rsidRDefault="00445D88" w:rsidP="001D28C2">
      <w:pPr>
        <w:pStyle w:val="Lijstalinea"/>
        <w:numPr>
          <w:ilvl w:val="0"/>
          <w:numId w:val="9"/>
        </w:numPr>
      </w:pPr>
      <w:r>
        <w:t>h</w:t>
      </w:r>
      <w:r w:rsidR="001D28C2">
        <w:t xml:space="preserve">et vaststellen van een nieuwe Monumenten (Erfgoed) verordening </w:t>
      </w:r>
      <w:r w:rsidR="00A0719B">
        <w:t>(</w:t>
      </w:r>
      <w:r w:rsidR="001D28C2">
        <w:t>onder gelijktijdige intrekking  van de Monumentenverordeningen van de voormalige gemeenten Alphen aan den Rijn, Boskoop en Rijnwoude</w:t>
      </w:r>
      <w:r w:rsidR="00A0719B">
        <w:t>)</w:t>
      </w:r>
      <w:r w:rsidR="001D28C2">
        <w:t>. In deze verordening ware bepalingen over archeologie en beschermde dorpsgezichten op te nemen;</w:t>
      </w:r>
    </w:p>
    <w:p w:rsidR="00105816" w:rsidRDefault="00445D88" w:rsidP="00105816">
      <w:pPr>
        <w:pStyle w:val="Lijstalinea"/>
        <w:numPr>
          <w:ilvl w:val="0"/>
          <w:numId w:val="9"/>
        </w:numPr>
      </w:pPr>
      <w:r>
        <w:t>h</w:t>
      </w:r>
      <w:r w:rsidR="001D28C2">
        <w:t xml:space="preserve">et instellen van een nieuwe Monumentencommissie </w:t>
      </w:r>
      <w:r w:rsidR="00AC647C" w:rsidRPr="006C0D98">
        <w:rPr>
          <w:b/>
        </w:rPr>
        <w:t>)</w:t>
      </w:r>
      <w:r w:rsidR="00AC647C" w:rsidRPr="006C0D98">
        <w:rPr>
          <w:rFonts w:cstheme="minorHAnsi"/>
          <w:b/>
        </w:rPr>
        <w:t>¹</w:t>
      </w:r>
      <w:r w:rsidR="001D28C2">
        <w:t>;</w:t>
      </w:r>
    </w:p>
    <w:p w:rsidR="006C7D0F" w:rsidRDefault="00445D88" w:rsidP="006C7D0F">
      <w:pPr>
        <w:pStyle w:val="Lijstalinea"/>
        <w:numPr>
          <w:ilvl w:val="0"/>
          <w:numId w:val="9"/>
        </w:numPr>
        <w:ind w:left="714" w:hanging="357"/>
      </w:pPr>
      <w:r>
        <w:t>h</w:t>
      </w:r>
      <w:r w:rsidR="006B3EB3">
        <w:t>et aanwijzen en registeren van gemeentelijke monumenten</w:t>
      </w:r>
      <w:r w:rsidR="00CF3ED9">
        <w:t>, waarbij twee</w:t>
      </w:r>
      <w:r w:rsidR="006B3EB3">
        <w:t xml:space="preserve"> varianten denkbaar</w:t>
      </w:r>
      <w:r w:rsidR="00CF3ED9">
        <w:t xml:space="preserve"> zijn</w:t>
      </w:r>
      <w:r w:rsidR="006C7D0F">
        <w:t xml:space="preserve">: </w:t>
      </w:r>
    </w:p>
    <w:p w:rsidR="006C7D0F" w:rsidRDefault="006C7D0F" w:rsidP="006C7D0F">
      <w:pPr>
        <w:pStyle w:val="Lijstalinea"/>
        <w:numPr>
          <w:ilvl w:val="0"/>
          <w:numId w:val="10"/>
        </w:numPr>
      </w:pPr>
      <w:r>
        <w:t>Aanwijzing op basis van vrijwilligheid;</w:t>
      </w:r>
    </w:p>
    <w:p w:rsidR="00A0719B" w:rsidRDefault="00CF3ED9" w:rsidP="00CF3ED9">
      <w:pPr>
        <w:pStyle w:val="Lijstalinea"/>
        <w:numPr>
          <w:ilvl w:val="0"/>
          <w:numId w:val="10"/>
        </w:numPr>
      </w:pPr>
      <w:r>
        <w:t>Opgelegde aanwijzing vanuit een algemeen (cultuurhistorisch) belang.</w:t>
      </w:r>
    </w:p>
    <w:p w:rsidR="000A0F89" w:rsidRDefault="000A0F89" w:rsidP="00CF3ED9"/>
    <w:p w:rsidR="000A0F89" w:rsidRDefault="000A0F89" w:rsidP="00CF3ED9">
      <w:r w:rsidRPr="00A0719B">
        <w:rPr>
          <w:b/>
          <w:sz w:val="18"/>
          <w:szCs w:val="18"/>
        </w:rPr>
        <w:t xml:space="preserve">De plaatselijke Monumentencommissies in de fusiegemeenten zijn  niet meer bevoegd. In afwachting van de instelling van een nieuwe Monumentencommissie  wordt de Vereniging Dorp, Stad &amp; Land gevraagd op ad hoc basis te adviseren bij aanvragen om een omgevingsvergunning waarbij een monumenten is betrokken.                 </w:t>
      </w:r>
    </w:p>
    <w:p w:rsidR="000A0F89" w:rsidRDefault="000A0F89" w:rsidP="00CF3ED9"/>
    <w:p w:rsidR="000A0F89" w:rsidRDefault="000A0F89" w:rsidP="00CF3ED9"/>
    <w:p w:rsidR="00CF3ED9" w:rsidRDefault="00CF3ED9" w:rsidP="00CF3ED9">
      <w:r>
        <w:t>Het beleid kan verder worden aangevuld</w:t>
      </w:r>
      <w:r w:rsidR="002A4FDD">
        <w:t xml:space="preserve"> door eigenaren van een monument te faciliteren middels:</w:t>
      </w:r>
    </w:p>
    <w:p w:rsidR="00445D88" w:rsidRDefault="00445D88" w:rsidP="00445D88">
      <w:pPr>
        <w:pStyle w:val="Lijstalinea"/>
        <w:numPr>
          <w:ilvl w:val="0"/>
          <w:numId w:val="9"/>
        </w:numPr>
      </w:pPr>
      <w:r>
        <w:t>h</w:t>
      </w:r>
      <w:r w:rsidR="002A4FDD">
        <w:t xml:space="preserve">et vaststellen van een Subsidieverordening op grond waarvan een instandhoudingsbijdrage kan worden verleend, </w:t>
      </w:r>
      <w:r w:rsidR="002A4FDD" w:rsidRPr="00C41EA8">
        <w:rPr>
          <w:u w:val="single"/>
        </w:rPr>
        <w:t>enkel voor gemeentelijke monumenten</w:t>
      </w:r>
      <w:r w:rsidR="002A4FDD">
        <w:t xml:space="preserve">. </w:t>
      </w:r>
      <w:r w:rsidR="00A0719B">
        <w:t>D</w:t>
      </w:r>
      <w:r w:rsidR="002A4FDD">
        <w:t>e verordeningen van (oud) Alphen aan den Rijn en Rijnwoude dienen dan te worden ingetrokken</w:t>
      </w:r>
      <w:r w:rsidR="00A0719B">
        <w:t xml:space="preserve">. Deze faciliteit is </w:t>
      </w:r>
      <w:r w:rsidR="00A0719B" w:rsidRPr="000A0F89">
        <w:rPr>
          <w:u w:val="single"/>
        </w:rPr>
        <w:t xml:space="preserve">niet </w:t>
      </w:r>
      <w:r w:rsidR="00A0719B">
        <w:t>kosten neutraal</w:t>
      </w:r>
      <w:r w:rsidR="002A4FDD">
        <w:t>;</w:t>
      </w:r>
    </w:p>
    <w:p w:rsidR="00AC647C" w:rsidRPr="00445D88" w:rsidRDefault="00445D88" w:rsidP="00AC647C">
      <w:pPr>
        <w:pStyle w:val="Lijstalinea"/>
        <w:numPr>
          <w:ilvl w:val="0"/>
          <w:numId w:val="9"/>
        </w:numPr>
      </w:pPr>
      <w:r>
        <w:t>h</w:t>
      </w:r>
      <w:r w:rsidR="002A4FDD">
        <w:t xml:space="preserve">et verruimen van (planologische) gebruiksmogelijkheden van rijks- en gemeentelijke monumenten, middels het vaststellen van beleid (gebruik) regels. Een pragmatische oplossing kan worden gevonden door de beleidsregels planologisch </w:t>
      </w:r>
      <w:r w:rsidR="00305338">
        <w:t xml:space="preserve">afwijkend </w:t>
      </w:r>
      <w:r w:rsidR="002A4FDD">
        <w:t>gebruik monumentenpanden van de vm. gemeente Rijnwoude van toepassing te laten verklaren voor het grondgebied van de nieuwe gemeente</w:t>
      </w:r>
      <w:r w:rsidR="00305338">
        <w:t>.  Deze faciliteit is kostenneutraal ;</w:t>
      </w:r>
    </w:p>
    <w:p w:rsidR="00305338" w:rsidRDefault="00445D88" w:rsidP="002A4FDD">
      <w:pPr>
        <w:pStyle w:val="Lijstalinea"/>
        <w:numPr>
          <w:ilvl w:val="0"/>
          <w:numId w:val="9"/>
        </w:numPr>
      </w:pPr>
      <w:r>
        <w:t>v</w:t>
      </w:r>
      <w:r w:rsidR="00305338">
        <w:t>rijstelling van leges voor rijks- en gemeentelijke monumenten. De inmiddels door de raad van de nieuwe gemeente Alphen aan den Rijn vastgestelde legesverordening behoeft in dat geval aanpassing</w:t>
      </w:r>
      <w:r w:rsidR="00A0719B">
        <w:t xml:space="preserve">. Deze faciliteit is </w:t>
      </w:r>
      <w:r w:rsidR="00A0719B" w:rsidRPr="000A0F89">
        <w:rPr>
          <w:u w:val="single"/>
        </w:rPr>
        <w:t>niet</w:t>
      </w:r>
      <w:r w:rsidR="00A0719B">
        <w:t xml:space="preserve"> kosten neutraal</w:t>
      </w:r>
      <w:r>
        <w:t>;</w:t>
      </w:r>
    </w:p>
    <w:p w:rsidR="002A4FDD" w:rsidRDefault="00445D88" w:rsidP="002A4FDD">
      <w:pPr>
        <w:pStyle w:val="Lijstalinea"/>
        <w:numPr>
          <w:ilvl w:val="0"/>
          <w:numId w:val="9"/>
        </w:numPr>
      </w:pPr>
      <w:r>
        <w:t>e</w:t>
      </w:r>
      <w:r w:rsidR="00305338">
        <w:t>en bijdrage in de abonnementskosten van de Monumentenwacht</w:t>
      </w:r>
      <w:r w:rsidR="00A0719B">
        <w:t xml:space="preserve">. Deze faciliteit is </w:t>
      </w:r>
      <w:r w:rsidR="00A0719B" w:rsidRPr="000A0F89">
        <w:rPr>
          <w:u w:val="single"/>
        </w:rPr>
        <w:t>niet</w:t>
      </w:r>
      <w:r w:rsidR="00A0719B">
        <w:t xml:space="preserve"> kostenneutraal. </w:t>
      </w:r>
      <w:r w:rsidR="00305338">
        <w:t xml:space="preserve"> </w:t>
      </w:r>
    </w:p>
    <w:p w:rsidR="00A0719B" w:rsidRPr="000A0F89" w:rsidRDefault="00C41EA8" w:rsidP="00A0719B">
      <w:r>
        <w:t>Deze lijst van mogelijkheden is niet uitputtend; meer opties zijn denkbaar.</w:t>
      </w:r>
    </w:p>
    <w:p w:rsidR="000A0F89" w:rsidRDefault="000A0F89" w:rsidP="00675BA6">
      <w:pPr>
        <w:rPr>
          <w:highlight w:val="yellow"/>
        </w:rPr>
      </w:pPr>
    </w:p>
    <w:p w:rsidR="000A0F89" w:rsidRPr="000A0F89" w:rsidRDefault="000A0F89" w:rsidP="000A0F89">
      <w:pPr>
        <w:pStyle w:val="Lijstalinea"/>
        <w:numPr>
          <w:ilvl w:val="0"/>
          <w:numId w:val="17"/>
        </w:numPr>
        <w:rPr>
          <w:b/>
          <w:u w:val="single"/>
        </w:rPr>
      </w:pPr>
      <w:r w:rsidRPr="000A0F89">
        <w:rPr>
          <w:b/>
          <w:u w:val="single"/>
        </w:rPr>
        <w:t>De keuze voor Alphen aan den Rijn zou kunnen zijn: Sober maar toch doelmatig</w:t>
      </w:r>
    </w:p>
    <w:p w:rsidR="000A0F89" w:rsidRPr="000A0F89" w:rsidRDefault="000A0F89" w:rsidP="00675BA6">
      <w:pPr>
        <w:rPr>
          <w:i/>
          <w:u w:val="single"/>
        </w:rPr>
      </w:pPr>
      <w:r w:rsidRPr="000A0F89">
        <w:rPr>
          <w:i/>
          <w:u w:val="single"/>
        </w:rPr>
        <w:t>Materieel/immaterieel faciliteren</w:t>
      </w:r>
    </w:p>
    <w:p w:rsidR="00A0719B" w:rsidRPr="000A0F89" w:rsidRDefault="00A0719B" w:rsidP="00675BA6">
      <w:r w:rsidRPr="000A0F89">
        <w:t xml:space="preserve">De gemeente Alphen aan den Rijn ziet zich geplaatst voor een forse bezuinigingstaakstelling. In de komende jaren zal structureel   10 mln. </w:t>
      </w:r>
      <w:r w:rsidR="000A0F89" w:rsidRPr="000A0F89">
        <w:t xml:space="preserve"> Euro b</w:t>
      </w:r>
      <w:r w:rsidRPr="000A0F89">
        <w:t>ezuinigd moeten worden.</w:t>
      </w:r>
    </w:p>
    <w:p w:rsidR="00A0719B" w:rsidRDefault="000A0F89" w:rsidP="00A0719B">
      <w:r w:rsidRPr="000A0F89">
        <w:t>Het is daarom niet  reëel te veronderstellen dat de gemeente  een beleid kan nastreven waarbij de eigenaar van een gemeentelijk monument  financiële  faciliteiten in het vooruitzicht worden  gesteld.</w:t>
      </w:r>
    </w:p>
    <w:p w:rsidR="000A0F89" w:rsidRDefault="000A0F89" w:rsidP="00A0719B">
      <w:r>
        <w:t>Op zich is dit ook niet nodig om het beleid toch doelmatig te kunnen laten zijn.  Veel eigenaren van een gemeentelijk monument gaat het niet  om een betrekkelijk gering bedrag aan subsidie en eigenaren van een rijksmonument beschikken reeds over de nodige fiscale voordelen via de rijksbelastingdienst.</w:t>
      </w:r>
    </w:p>
    <w:p w:rsidR="000A0F89" w:rsidRDefault="000A0F89" w:rsidP="00A0719B">
      <w:r>
        <w:t xml:space="preserve">Het beleid kan ook inhoud worden gegeven indien de gemeente zich richt op het immaterieel faciliteren van de eigenaar van een monument, zowel een gemeentelijk- als een rijksmonument. </w:t>
      </w:r>
    </w:p>
    <w:p w:rsidR="000A0F89" w:rsidRDefault="000A0F89" w:rsidP="00A0719B">
      <w:r>
        <w:t>Concreet kan dit betekenen dat de gemeente :</w:t>
      </w:r>
    </w:p>
    <w:p w:rsidR="000A0F89" w:rsidRDefault="000A0F89" w:rsidP="000A0F89">
      <w:pPr>
        <w:pStyle w:val="Lijstalinea"/>
        <w:numPr>
          <w:ilvl w:val="0"/>
          <w:numId w:val="7"/>
        </w:numPr>
      </w:pPr>
      <w:r>
        <w:t>de eigenaar in de gelegenheid stelt het  monument in stand (exploitabel) te houden door de gebruiksmogelijkheden te verruimen en/of te optimaliseren;</w:t>
      </w:r>
    </w:p>
    <w:p w:rsidR="000A0F89" w:rsidRDefault="000A0F89" w:rsidP="000A0F89">
      <w:pPr>
        <w:pStyle w:val="Lijstalinea"/>
        <w:numPr>
          <w:ilvl w:val="0"/>
          <w:numId w:val="7"/>
        </w:numPr>
      </w:pPr>
      <w:r>
        <w:t xml:space="preserve">de eigenaar te voorzien van goede adviezen of te verwijzen naar goede externe adviseurs, bijvoorbeeld bij het opstellen van een restauratieplan, het begeleiden van een restauraties of in het geval er sprake moet zijn van handhavend optreden. Uiteraard impliceert dit dat de gemeente moet investeren in de scholing van personeel dat betrokken is bij de vergunningverlening of de handhaving ter zake van monumentenpanden.  </w:t>
      </w:r>
    </w:p>
    <w:p w:rsidR="000A0F89" w:rsidRDefault="000A0F89" w:rsidP="000A0F89">
      <w:r>
        <w:t xml:space="preserve">Betekent een dergelijke keuze nu ook dat er geen verordening behoeft te worden vastgesteld gericht  op subsidiëring / instandhouding van (let op: enkel) gemeentelijke monumenten? </w:t>
      </w:r>
    </w:p>
    <w:p w:rsidR="000A0F89" w:rsidRDefault="000A0F89" w:rsidP="000A0F89">
      <w:r>
        <w:t>Het antwoord luidt: het betreft een autonomen bevoegdheid van de gemeenteraad.</w:t>
      </w:r>
    </w:p>
    <w:p w:rsidR="000A0F89" w:rsidRDefault="000A0F89" w:rsidP="000A0F89">
      <w:r>
        <w:t xml:space="preserve">Hoewel de keuze wordt voorgelegd om eigenaren van een gemeentelijk monument in het kader van de harmonisatie van het beleid niet financieel te ondersteunen, </w:t>
      </w:r>
      <w:r w:rsidR="007A504A">
        <w:t>wordt in overweging gegeven</w:t>
      </w:r>
      <w:r>
        <w:t xml:space="preserve"> om zo’n verordening toch vast te stellen, met dien verstande dat het subsidieplafond op  - 0 – wordt gesteld. Mochten zich financieel betere tijden aandienen of mocht politiek- bestuurlijk de wens bestaan het beleid te wijzigen, dan  behoort dat vrij eenvoudig tot de mogelijkheden.  </w:t>
      </w:r>
    </w:p>
    <w:p w:rsidR="000A0F89" w:rsidRPr="000A0F89" w:rsidRDefault="000A0F89" w:rsidP="000A0F89">
      <w:pPr>
        <w:rPr>
          <w:i/>
          <w:u w:val="single"/>
        </w:rPr>
      </w:pPr>
      <w:r w:rsidRPr="000A0F89">
        <w:rPr>
          <w:i/>
          <w:u w:val="single"/>
        </w:rPr>
        <w:t>Verplichte of vrijwillige aanwijzing van een monument</w:t>
      </w:r>
    </w:p>
    <w:p w:rsidR="00A0719B" w:rsidRDefault="000A0F89" w:rsidP="00675BA6">
      <w:r>
        <w:t>Tot een volwaardig monumentenbeleid behoort de optie om gemeentelijke monumenten te kunnen aanwijzen. In het voorstel dat uit deze beleidsnotitie voortvloeit wordt de leuze gemaakt om het aanwijzen van gemeentelijke monumenten enkel op basis van vrijwilligheid te laten plaatsvinden.</w:t>
      </w:r>
    </w:p>
    <w:p w:rsidR="000A0F89" w:rsidRDefault="000A0F89" w:rsidP="00675BA6">
      <w:r>
        <w:t>Een uitzondering geldt voor gevallen waarbij het algemeen en</w:t>
      </w:r>
      <w:r w:rsidR="00EF2458">
        <w:t xml:space="preserve">/ of het </w:t>
      </w:r>
      <w:r>
        <w:t xml:space="preserve"> cultuurhistorisch belang aantoonbaar aan de orde is. Dit zal slechts in bijzondere gevallen </w:t>
      </w:r>
      <w:r w:rsidR="00EF2458">
        <w:t xml:space="preserve"> voorkomen</w:t>
      </w:r>
      <w:r>
        <w:t>.</w:t>
      </w:r>
    </w:p>
    <w:p w:rsidR="000A0F89" w:rsidRDefault="00675BA6" w:rsidP="00675BA6">
      <w:r>
        <w:t xml:space="preserve">Bij </w:t>
      </w:r>
      <w:r w:rsidR="000A0F89">
        <w:t xml:space="preserve">de </w:t>
      </w:r>
      <w:r>
        <w:t xml:space="preserve"> keuze voor het aanwijzen van gemeentelijke monumenten, louter op basis van vrijwilligheid dient het aangewezen bestuursorgaan ( uw college) zich te realiseren dat dit gevolgen kan hebben voor aanwijzingsbesluiten die reeds hebben plaatsgevonden en die inmiddels onherroepelijk zijn. In enkele gevallen hebben eigenaren zich namelijk verzet tegen aanwijzing, maar zijn hun bezwaren in bezwaar en/of beroep niet gehonoreerd. Ook kan het zijn dat eigenaren destijds hebben meegewerkt aan de aanwijzing van hun pand tot gemeentelijk monument vanwege het vooruitzicht dat zij financieel en/of anderszins zouden worden gefaciliteerd. Indien besluitvorming er toe leidt dat zij dit perspectief (mogelijk) niet meer hebben of houden, is het denkbaar dat zij het besluit van destijds in een ander daglicht zien</w:t>
      </w:r>
      <w:r w:rsidR="00445D88">
        <w:t xml:space="preserve"> en ter discussie willen stellen </w:t>
      </w:r>
      <w:r>
        <w:t xml:space="preserve">. </w:t>
      </w:r>
    </w:p>
    <w:p w:rsidR="00675BA6" w:rsidRDefault="000A0F89" w:rsidP="00675BA6">
      <w:r>
        <w:t>Lopende aanwijzingsprocedures, naar aanleiding waarvan een zienswijze is ingediend , kunnen worden gestaakt. In de voormalige gemeente Rijnwoude gaat het om drie gevallen.</w:t>
      </w:r>
      <w:r w:rsidR="00675BA6">
        <w:t xml:space="preserve"> </w:t>
      </w:r>
    </w:p>
    <w:p w:rsidR="00675BA6" w:rsidRPr="000A0F89" w:rsidRDefault="000A0F89" w:rsidP="00305338">
      <w:pPr>
        <w:rPr>
          <w:i/>
          <w:u w:val="single"/>
        </w:rPr>
      </w:pPr>
      <w:r w:rsidRPr="000A0F89">
        <w:rPr>
          <w:i/>
          <w:u w:val="single"/>
        </w:rPr>
        <w:t>Monumenten (erfgoed) verordening</w:t>
      </w:r>
    </w:p>
    <w:p w:rsidR="00105816" w:rsidRDefault="000A0F89" w:rsidP="00305338">
      <w:r>
        <w:t>Een voorstel tot het vaststellen van een Monumenten (erfgoed) verordening, volgens model VNG zal worden voorbereid. Daarin zullen ook hoofdstukken worden opgenomen ten aanzien van Archeologie en Beschermde dorps- en stadsgezichten.</w:t>
      </w:r>
    </w:p>
    <w:p w:rsidR="000A0F89" w:rsidRPr="000A0F89" w:rsidRDefault="000A0F89" w:rsidP="00305338">
      <w:pPr>
        <w:rPr>
          <w:i/>
          <w:u w:val="single"/>
        </w:rPr>
      </w:pPr>
      <w:r w:rsidRPr="000A0F89">
        <w:rPr>
          <w:i/>
          <w:u w:val="single"/>
        </w:rPr>
        <w:t>Verordening op de Monumentencommissie/ instellen Monumentencommissie</w:t>
      </w:r>
    </w:p>
    <w:p w:rsidR="00105816" w:rsidRDefault="000A0F89" w:rsidP="00305338">
      <w:r>
        <w:t>Een voorstel tot het vaststellen van een Verordening op de Monumentencommissie wordt voorbereid. Van belang is uit hoeveel leden deze commissie zou moeten bestaan en op welke wijze deze moet worden samengesteld. Een optie is te kijken welke deskundigheid beschikbaar is vanuit de Monumentencommissies van de voormalige gemeenten Alphen aan den Rijn, Boskoop en Rijnwoude. Gepleit wordt voor lokale deskundigheid omdat dit leidt tot een betere borging en acceptatie  in de lokale samenleving. Uit budgettaire overwegingen wordt geen presentiegeld voor de leden voorgestaan, enkel een vergoeding voor gemaakte onkosten. De Monumentencommissie kan eerst worden ingesteld na vaststelling van de verordening. Om de commissie snel daarna te kunnen installeren kunnen er na het beeldvormende rondetafelgesprek  met de gemeenteraad al voorbereidende maatregelen worden getroffen.</w:t>
      </w:r>
    </w:p>
    <w:p w:rsidR="00105816" w:rsidRDefault="00105816" w:rsidP="00305338"/>
    <w:p w:rsidR="000A0F89" w:rsidRDefault="000A0F89" w:rsidP="00305338"/>
    <w:p w:rsidR="000A0F89" w:rsidRDefault="000A0F89" w:rsidP="00305338"/>
    <w:p w:rsidR="000A0F89" w:rsidRDefault="000A0F89" w:rsidP="00305338"/>
    <w:tbl>
      <w:tblPr>
        <w:tblStyle w:val="Tabelraster"/>
        <w:tblW w:w="0" w:type="auto"/>
        <w:shd w:val="clear" w:color="auto" w:fill="A6A6A6" w:themeFill="background1" w:themeFillShade="A6"/>
        <w:tblLook w:val="04A0" w:firstRow="1" w:lastRow="0" w:firstColumn="1" w:lastColumn="0" w:noHBand="0" w:noVBand="1"/>
      </w:tblPr>
      <w:tblGrid>
        <w:gridCol w:w="1129"/>
        <w:gridCol w:w="8159"/>
      </w:tblGrid>
      <w:tr w:rsidR="00605CEC" w:rsidRPr="00605CEC" w:rsidTr="00773742">
        <w:tc>
          <w:tcPr>
            <w:tcW w:w="0" w:type="auto"/>
            <w:shd w:val="clear" w:color="auto" w:fill="A6A6A6" w:themeFill="background1" w:themeFillShade="A6"/>
          </w:tcPr>
          <w:p w:rsidR="00605CEC" w:rsidRPr="00605CEC" w:rsidRDefault="00605CEC" w:rsidP="00605CEC">
            <w:pPr>
              <w:spacing w:after="200"/>
            </w:pPr>
            <w:r w:rsidRPr="00605CEC">
              <w:t>Conclusie:</w:t>
            </w:r>
          </w:p>
          <w:p w:rsidR="00605CEC" w:rsidRPr="00605CEC" w:rsidRDefault="00605CEC" w:rsidP="00605CEC">
            <w:pPr>
              <w:spacing w:after="200"/>
            </w:pPr>
          </w:p>
        </w:tc>
        <w:tc>
          <w:tcPr>
            <w:tcW w:w="0" w:type="auto"/>
            <w:shd w:val="clear" w:color="auto" w:fill="A6A6A6" w:themeFill="background1" w:themeFillShade="A6"/>
          </w:tcPr>
          <w:p w:rsidR="00675BA6" w:rsidRPr="00605CEC" w:rsidRDefault="00605CEC" w:rsidP="000A0F89">
            <w:pPr>
              <w:spacing w:after="200"/>
            </w:pPr>
            <w:r>
              <w:t xml:space="preserve">De nieuwe gemeente Alphen aan den Rijn zou moeten kiezen voor een volwaardig monumentenbeleid, sober doch doelmatig. Dit betekent dat er in ieder geval een geval een nieuwe </w:t>
            </w:r>
            <w:r w:rsidR="001D06AB">
              <w:t>M</w:t>
            </w:r>
            <w:r>
              <w:t xml:space="preserve">onumenten( erfgoed) verordening </w:t>
            </w:r>
            <w:r w:rsidR="00675BA6">
              <w:t>wordt</w:t>
            </w:r>
            <w:r>
              <w:t xml:space="preserve"> vastgesteld, er een </w:t>
            </w:r>
            <w:r w:rsidR="001D06AB">
              <w:t>M</w:t>
            </w:r>
            <w:r>
              <w:t xml:space="preserve">onumentencommissie </w:t>
            </w:r>
            <w:r w:rsidR="00675BA6">
              <w:t xml:space="preserve">wordt </w:t>
            </w:r>
            <w:r>
              <w:t xml:space="preserve"> </w:t>
            </w:r>
            <w:r w:rsidR="00E751AC">
              <w:t>ingesteld</w:t>
            </w:r>
            <w:r>
              <w:t xml:space="preserve"> en dat wordt geopteerd voor de mogelijkheid om gemeentelijke monumenten aan te wijzen</w:t>
            </w:r>
            <w:r w:rsidR="000A0F89">
              <w:t xml:space="preserve"> enkel </w:t>
            </w:r>
            <w:r>
              <w:t xml:space="preserve"> op</w:t>
            </w:r>
            <w:r w:rsidR="006F4FA1">
              <w:t xml:space="preserve"> basis van vrijwilligheid.</w:t>
            </w:r>
            <w:r w:rsidR="000A0F89">
              <w:t xml:space="preserve"> Slechts in bijzondere gevallen, vanuit algemeen en/of cultuurhistorisch belang zou een verplichte aanwijzing moeten worden overwogen. </w:t>
            </w:r>
            <w:r w:rsidR="006F4FA1">
              <w:t xml:space="preserve"> Onderzocht moet worden of eigenaren van monumentenpanden (zowel rijks- als gemeentelijk </w:t>
            </w:r>
            <w:r w:rsidR="000A0F89">
              <w:t xml:space="preserve">op immateriële wijze </w:t>
            </w:r>
            <w:r w:rsidR="006F4FA1">
              <w:t>kunnen worden gefaciliteerd,</w:t>
            </w:r>
            <w:r w:rsidR="000A0F89">
              <w:t xml:space="preserve"> bijvoorbeeld door verruiming van de planologische gebruiksmogelijkheden van hun pand of complex</w:t>
            </w:r>
            <w:r w:rsidR="006F4FA1">
              <w:t>.</w:t>
            </w:r>
          </w:p>
        </w:tc>
      </w:tr>
    </w:tbl>
    <w:p w:rsidR="000A0F89" w:rsidRDefault="000A0F89" w:rsidP="002B42D0">
      <w:pPr>
        <w:pStyle w:val="Lijstalinea"/>
      </w:pPr>
    </w:p>
    <w:p w:rsidR="000A0F89" w:rsidRDefault="000A0F89" w:rsidP="002B42D0">
      <w:pPr>
        <w:pStyle w:val="Lijstalinea"/>
      </w:pPr>
    </w:p>
    <w:p w:rsidR="000A0F89" w:rsidRDefault="000A0F89" w:rsidP="002B42D0">
      <w:pPr>
        <w:pStyle w:val="Lijstalinea"/>
      </w:pPr>
    </w:p>
    <w:p w:rsidR="00C470C9" w:rsidRPr="000A0F89" w:rsidRDefault="00C470C9" w:rsidP="000A0F89">
      <w:pPr>
        <w:pStyle w:val="Lijstalinea"/>
        <w:numPr>
          <w:ilvl w:val="0"/>
          <w:numId w:val="17"/>
        </w:numPr>
        <w:rPr>
          <w:b/>
          <w:u w:val="single"/>
        </w:rPr>
      </w:pPr>
      <w:r w:rsidRPr="000A0F89">
        <w:rPr>
          <w:b/>
          <w:u w:val="single"/>
        </w:rPr>
        <w:t xml:space="preserve">Beschikbaarheid van budget </w:t>
      </w:r>
    </w:p>
    <w:p w:rsidR="00C470C9" w:rsidRDefault="00C470C9" w:rsidP="00C470C9">
      <w:pPr>
        <w:pStyle w:val="Lijstalinea"/>
        <w:rPr>
          <w:b/>
          <w:u w:val="single"/>
        </w:rPr>
      </w:pPr>
    </w:p>
    <w:p w:rsidR="00C470C9" w:rsidRPr="004472CC" w:rsidRDefault="00C470C9" w:rsidP="00C470C9">
      <w:pPr>
        <w:pStyle w:val="Lijstalinea"/>
        <w:rPr>
          <w:i/>
          <w:u w:val="single"/>
        </w:rPr>
      </w:pPr>
      <w:r w:rsidRPr="004472CC">
        <w:rPr>
          <w:i/>
          <w:u w:val="single"/>
        </w:rPr>
        <w:t>Monumentenbeleid</w:t>
      </w:r>
    </w:p>
    <w:p w:rsidR="00C470C9" w:rsidRDefault="00C470C9" w:rsidP="00C470C9">
      <w:pPr>
        <w:pStyle w:val="Lijstalinea"/>
      </w:pPr>
      <w:r w:rsidRPr="001F5146">
        <w:t>Voor het beleidsterrein Monumentenzorg</w:t>
      </w:r>
      <w:r>
        <w:t xml:space="preserve"> is binnen de begroting 2014 een budget beschikbaar van </w:t>
      </w:r>
      <w:r>
        <w:rPr>
          <w:rFonts w:cstheme="minorHAnsi"/>
        </w:rPr>
        <w:t>€</w:t>
      </w:r>
      <w:r>
        <w:t xml:space="preserve"> 30.000, - Dit budget is toereikend indien het beleid beperkt wordt tot  het vaststellen van een nieuwe Monumenten (erfgoed) verordening, het instellen van een Monumentencommissie en het – op vrijwillige basis – aanwijzen van gemeentelijke monumenten</w:t>
      </w:r>
      <w:r w:rsidR="000A0F89">
        <w:t>.</w:t>
      </w:r>
    </w:p>
    <w:p w:rsidR="00B61DE9" w:rsidRPr="00A0719B" w:rsidRDefault="00B61DE9" w:rsidP="00A0719B"/>
    <w:p w:rsidR="00B61DE9" w:rsidRDefault="00A0719B" w:rsidP="000A0F89">
      <w:pPr>
        <w:pStyle w:val="Lijstalinea"/>
        <w:numPr>
          <w:ilvl w:val="0"/>
          <w:numId w:val="17"/>
        </w:numPr>
        <w:rPr>
          <w:b/>
          <w:u w:val="single"/>
        </w:rPr>
      </w:pPr>
      <w:r>
        <w:rPr>
          <w:b/>
          <w:u w:val="single"/>
        </w:rPr>
        <w:t xml:space="preserve">Planning </w:t>
      </w:r>
    </w:p>
    <w:p w:rsidR="00FC5502" w:rsidRDefault="00FC5502" w:rsidP="00FC5502">
      <w:pPr>
        <w:ind w:left="720"/>
      </w:pPr>
      <w:r w:rsidRPr="00FC5502">
        <w:t xml:space="preserve">Deze beleidsnotitie </w:t>
      </w:r>
      <w:r>
        <w:t>is bedoeld om een  aanzet te geven voor het harmoniseren van het  Monumenten</w:t>
      </w:r>
      <w:r w:rsidR="000A0F89">
        <w:t>beleid.</w:t>
      </w:r>
    </w:p>
    <w:p w:rsidR="00785DE0" w:rsidRDefault="00FC5502" w:rsidP="00FC5502">
      <w:pPr>
        <w:ind w:left="720"/>
      </w:pPr>
      <w:r>
        <w:t>Het jaar 2014 moet worden beschouwd als overgangsjaar</w:t>
      </w:r>
      <w:r w:rsidR="00296584">
        <w:t>, een jaar</w:t>
      </w:r>
      <w:r>
        <w:t xml:space="preserve"> waarin voorbereidingen worden getroffen met het oog op besluitvorming </w:t>
      </w:r>
      <w:r w:rsidR="008A5443">
        <w:t xml:space="preserve">uiterlijk in het </w:t>
      </w:r>
      <w:r w:rsidR="000A0F89">
        <w:t>4</w:t>
      </w:r>
      <w:r w:rsidR="000A0F89" w:rsidRPr="000A0F89">
        <w:rPr>
          <w:vertAlign w:val="superscript"/>
        </w:rPr>
        <w:t>e</w:t>
      </w:r>
      <w:r w:rsidR="000A0F89">
        <w:t xml:space="preserve"> kwartaal</w:t>
      </w:r>
      <w:r w:rsidR="008A5443">
        <w:t>.</w:t>
      </w:r>
      <w:r>
        <w:t xml:space="preserve"> </w:t>
      </w:r>
    </w:p>
    <w:p w:rsidR="00D14C3D" w:rsidRDefault="006C0D98" w:rsidP="00FC5502">
      <w:pPr>
        <w:ind w:left="720"/>
      </w:pPr>
      <w:r>
        <w:t xml:space="preserve">Voorgesteld wordt </w:t>
      </w:r>
      <w:r w:rsidR="000A0F89">
        <w:t>om deze beleidsnotitie</w:t>
      </w:r>
      <w:r w:rsidR="00D14C3D">
        <w:t xml:space="preserve"> te bespreken tijdens een college bijpraatavond met de raad. </w:t>
      </w:r>
    </w:p>
    <w:p w:rsidR="00FC5502" w:rsidRDefault="006C0D98" w:rsidP="00FC5502">
      <w:pPr>
        <w:ind w:left="720"/>
      </w:pPr>
      <w:r>
        <w:t xml:space="preserve">Indien blijkt dat de  uitgangspunten </w:t>
      </w:r>
      <w:r w:rsidR="000A0F89">
        <w:t>steunen</w:t>
      </w:r>
      <w:r>
        <w:t xml:space="preserve"> op een raadsmeerderheid</w:t>
      </w:r>
      <w:r w:rsidR="00087BE0">
        <w:t>,</w:t>
      </w:r>
      <w:r>
        <w:t xml:space="preserve"> kunnen de noodzakelijke verordeningen worden voorbereid voor fase 2 en 3 </w:t>
      </w:r>
      <w:r w:rsidR="00087BE0">
        <w:t xml:space="preserve">van </w:t>
      </w:r>
      <w:r>
        <w:t>het vergadermodel</w:t>
      </w:r>
      <w:r w:rsidR="000A0F89">
        <w:t xml:space="preserve"> van de gemeenteraad </w:t>
      </w:r>
      <w:r>
        <w:t>, na voorafgaande besluitvorming in het college van burgemeester en wethouders</w:t>
      </w:r>
      <w:r w:rsidR="00C470C9">
        <w:t xml:space="preserve"> (</w:t>
      </w:r>
      <w:r w:rsidR="000A0F89">
        <w:t>zo mogelijk 2</w:t>
      </w:r>
      <w:r w:rsidR="000A0F89" w:rsidRPr="000A0F89">
        <w:rPr>
          <w:vertAlign w:val="superscript"/>
        </w:rPr>
        <w:t>e</w:t>
      </w:r>
      <w:r w:rsidR="000A0F89">
        <w:t>, uiterlijk 3</w:t>
      </w:r>
      <w:r w:rsidR="00C470C9" w:rsidRPr="00C470C9">
        <w:rPr>
          <w:vertAlign w:val="superscript"/>
        </w:rPr>
        <w:t>e</w:t>
      </w:r>
      <w:r w:rsidR="00C470C9">
        <w:t xml:space="preserve"> kwartaal 2014)</w:t>
      </w:r>
      <w:r w:rsidR="00926E60">
        <w:t>.</w:t>
      </w:r>
    </w:p>
    <w:p w:rsidR="00C470C9" w:rsidRDefault="000A0F89" w:rsidP="00FC5502">
      <w:pPr>
        <w:ind w:left="720"/>
      </w:pPr>
      <w:r>
        <w:t xml:space="preserve">Na het beeldvormende rondetafelgesprek </w:t>
      </w:r>
      <w:r w:rsidR="00C470C9">
        <w:t xml:space="preserve"> kan  de werving en selectie </w:t>
      </w:r>
      <w:r w:rsidR="00926E60">
        <w:t>starten</w:t>
      </w:r>
      <w:r w:rsidR="00C470C9">
        <w:t xml:space="preserve"> voor de nieuw in te stellen Monumentencommissie.</w:t>
      </w:r>
    </w:p>
    <w:p w:rsidR="00926E60" w:rsidRDefault="00926E60" w:rsidP="00FC5502">
      <w:pPr>
        <w:ind w:left="720"/>
      </w:pPr>
      <w:r>
        <w:t xml:space="preserve">Besluitvorming over verordeningen en het benoemen </w:t>
      </w:r>
      <w:r w:rsidR="00087BE0">
        <w:t xml:space="preserve">en installeren </w:t>
      </w:r>
      <w:r>
        <w:t xml:space="preserve">van leden in de Monumentencommissie  kan tenslotte plaatsvinden in het </w:t>
      </w:r>
      <w:r w:rsidR="000A0F89">
        <w:t>4</w:t>
      </w:r>
      <w:r w:rsidR="000A0F89" w:rsidRPr="000A0F89">
        <w:rPr>
          <w:vertAlign w:val="superscript"/>
        </w:rPr>
        <w:t>e</w:t>
      </w:r>
      <w:r w:rsidR="000A0F89">
        <w:t xml:space="preserve"> </w:t>
      </w:r>
      <w:r>
        <w:t xml:space="preserve"> kwartaal van 201</w:t>
      </w:r>
      <w:r w:rsidR="000A0F89">
        <w:t>4</w:t>
      </w:r>
      <w:r w:rsidR="00BC73E4">
        <w:t xml:space="preserve">, </w:t>
      </w:r>
      <w:r w:rsidR="00087BE0">
        <w:t xml:space="preserve">of </w:t>
      </w:r>
      <w:r w:rsidR="00BC73E4">
        <w:t>zo mogelijk eerder</w:t>
      </w:r>
      <w:r>
        <w:t xml:space="preserve">. </w:t>
      </w:r>
    </w:p>
    <w:p w:rsidR="00A0719B" w:rsidRDefault="00911DC2" w:rsidP="000A0F89">
      <w:pPr>
        <w:ind w:left="720"/>
      </w:pPr>
      <w:r>
        <w:t xml:space="preserve">Bijzondere aandacht dient te worden besteed aan de communicatie rondom dit besluitvormingstraject.  Ook dienen gevestigde instellingen, zoals historische verenigingen, werkgroepen e.d. in een vroegtijdig stadium bij het proces te worden betrokken. </w:t>
      </w:r>
    </w:p>
    <w:p w:rsidR="00D14C3D" w:rsidRDefault="00D14C3D" w:rsidP="000A0F89">
      <w:pPr>
        <w:ind w:left="720"/>
      </w:pPr>
      <w:r>
        <w:t xml:space="preserve">Gelet op de discussie die nu gevoerd wordt over de strategische herorientatie gaat dit voorstel uit van een sober maar doelmatig monumentenbeleid. Voor de toekomst zal worden bekeken hoe de ambitie op het beleidsterrein monumentenzorg verder kan worden uitgebouwd.  De raad zal ook gevraagd worden welke ambities voor de toekomst worden voorgestaan.  </w:t>
      </w:r>
    </w:p>
    <w:p w:rsidR="000A0F89" w:rsidRPr="00FC5502" w:rsidRDefault="000A0F89" w:rsidP="000A0F89">
      <w:pPr>
        <w:ind w:left="720"/>
      </w:pPr>
    </w:p>
    <w:p w:rsidR="00B0254C" w:rsidRDefault="00785DE0" w:rsidP="000A0F89">
      <w:pPr>
        <w:pStyle w:val="Lijstalinea"/>
        <w:numPr>
          <w:ilvl w:val="0"/>
          <w:numId w:val="17"/>
        </w:numPr>
        <w:rPr>
          <w:b/>
          <w:u w:val="single"/>
        </w:rPr>
      </w:pPr>
      <w:r w:rsidRPr="00A0719B">
        <w:rPr>
          <w:b/>
          <w:u w:val="single"/>
        </w:rPr>
        <w:t>Beslispunten</w:t>
      </w:r>
      <w:r w:rsidR="006F0656" w:rsidRPr="00A0719B">
        <w:rPr>
          <w:b/>
          <w:u w:val="single"/>
        </w:rPr>
        <w:t xml:space="preserve"> </w:t>
      </w:r>
    </w:p>
    <w:p w:rsidR="00A0719B" w:rsidRPr="00A0719B" w:rsidRDefault="00A0719B" w:rsidP="00A0719B">
      <w:pPr>
        <w:pStyle w:val="Lijstalinea"/>
        <w:rPr>
          <w:b/>
          <w:u w:val="single"/>
        </w:rPr>
      </w:pPr>
    </w:p>
    <w:p w:rsidR="00A0719B" w:rsidRDefault="00A0719B" w:rsidP="00A0719B">
      <w:pPr>
        <w:pStyle w:val="Lijstalinea"/>
        <w:widowControl w:val="0"/>
        <w:numPr>
          <w:ilvl w:val="0"/>
          <w:numId w:val="16"/>
        </w:numPr>
        <w:autoSpaceDE w:val="0"/>
        <w:autoSpaceDN w:val="0"/>
        <w:adjustRightInd w:val="0"/>
        <w:spacing w:after="0"/>
        <w:rPr>
          <w:rFonts w:cs="Lucida Sans Unicode"/>
          <w:szCs w:val="18"/>
        </w:rPr>
      </w:pPr>
      <w:r>
        <w:rPr>
          <w:rFonts w:cs="Lucida Sans Unicode"/>
          <w:szCs w:val="18"/>
        </w:rPr>
        <w:t>De ambtelijke dienst opdracht te verstrekken de harmonisatie van het Monumentenbeleid te bevorderen, middels het opstellen van een concept Monumenten (Erfgoed) verordening en een concept Verordening op de Monumentencommissie;</w:t>
      </w:r>
    </w:p>
    <w:p w:rsidR="00A0719B" w:rsidRDefault="00A0719B" w:rsidP="00A0719B">
      <w:pPr>
        <w:pStyle w:val="Lijstalinea"/>
        <w:widowControl w:val="0"/>
        <w:numPr>
          <w:ilvl w:val="0"/>
          <w:numId w:val="16"/>
        </w:numPr>
        <w:autoSpaceDE w:val="0"/>
        <w:autoSpaceDN w:val="0"/>
        <w:adjustRightInd w:val="0"/>
        <w:spacing w:after="0"/>
        <w:rPr>
          <w:rFonts w:cs="Lucida Sans Unicode"/>
          <w:szCs w:val="18"/>
        </w:rPr>
      </w:pPr>
      <w:r>
        <w:rPr>
          <w:rFonts w:cs="Lucida Sans Unicode"/>
          <w:szCs w:val="18"/>
        </w:rPr>
        <w:t>Zodra de onder 1 genoemde verordeningen door de gemeenteraad zijn vastgesteld, over te gaan tot instelling van een Monumentencommissie en daar thans reeds voorbereidende maatregelen voor te treffen;</w:t>
      </w:r>
    </w:p>
    <w:p w:rsidR="00A0719B" w:rsidRDefault="00A0719B" w:rsidP="00A0719B">
      <w:pPr>
        <w:pStyle w:val="Lijstalinea"/>
        <w:widowControl w:val="0"/>
        <w:numPr>
          <w:ilvl w:val="0"/>
          <w:numId w:val="16"/>
        </w:numPr>
        <w:autoSpaceDE w:val="0"/>
        <w:autoSpaceDN w:val="0"/>
        <w:adjustRightInd w:val="0"/>
        <w:spacing w:after="0"/>
        <w:rPr>
          <w:rFonts w:cs="Lucida Sans Unicode"/>
          <w:szCs w:val="18"/>
        </w:rPr>
      </w:pPr>
      <w:r>
        <w:rPr>
          <w:rFonts w:cs="Lucida Sans Unicode"/>
          <w:szCs w:val="18"/>
        </w:rPr>
        <w:t xml:space="preserve">Als beleidsuitgangspunt te hanteren dat panden of objecten kunnen worden aangewezen als gemeentelijk monument, indien de eigenaar aangeeft met aanwijzing te kunnen instemmen. </w:t>
      </w:r>
    </w:p>
    <w:p w:rsidR="00A0719B" w:rsidRDefault="00A0719B" w:rsidP="00A0719B">
      <w:pPr>
        <w:pStyle w:val="Lijstalinea"/>
        <w:widowControl w:val="0"/>
        <w:numPr>
          <w:ilvl w:val="0"/>
          <w:numId w:val="16"/>
        </w:numPr>
        <w:autoSpaceDE w:val="0"/>
        <w:autoSpaceDN w:val="0"/>
        <w:adjustRightInd w:val="0"/>
        <w:spacing w:after="0"/>
        <w:rPr>
          <w:rFonts w:cs="Lucida Sans Unicode"/>
          <w:szCs w:val="18"/>
        </w:rPr>
      </w:pPr>
      <w:r>
        <w:rPr>
          <w:rFonts w:cs="Lucida Sans Unicode"/>
          <w:szCs w:val="18"/>
        </w:rPr>
        <w:t>In afwijking van beslispunt 3 te bepalen dat panden of objecten alléén in bijzondere gevallen – indien het algemeen en/of het cultuurhistorisch belang daarmee is  gediend – zonder voorafgaande instemming van de eigenaar kunnen worden aangewezen als gemeentelijk monument;</w:t>
      </w:r>
    </w:p>
    <w:p w:rsidR="00A0719B" w:rsidRDefault="00A0719B" w:rsidP="00A0719B">
      <w:pPr>
        <w:pStyle w:val="Lijstalinea"/>
        <w:widowControl w:val="0"/>
        <w:numPr>
          <w:ilvl w:val="0"/>
          <w:numId w:val="16"/>
        </w:numPr>
        <w:autoSpaceDE w:val="0"/>
        <w:autoSpaceDN w:val="0"/>
        <w:adjustRightInd w:val="0"/>
        <w:spacing w:after="0"/>
        <w:rPr>
          <w:rFonts w:cs="Lucida Sans Unicode"/>
          <w:szCs w:val="18"/>
        </w:rPr>
      </w:pPr>
      <w:r>
        <w:rPr>
          <w:rFonts w:cs="Lucida Sans Unicode"/>
          <w:szCs w:val="18"/>
        </w:rPr>
        <w:t>De harmonisatie van het Monumentenbeleid op budgettair neutrale wijze te laten plaatsvinden, hetgeen impliceert dat eigenaren van gemeentelijke monumenten geen financiële faciliteiten worden geboden en installatie van de leden van de Monumentencommissie plaatsvindt onder de voorwaarde dat voor hun werkzaamheden louter een onkostenregeling in het vooruitzicht wordt gesteld;</w:t>
      </w:r>
    </w:p>
    <w:p w:rsidR="000A0F89" w:rsidRPr="000A0F89" w:rsidRDefault="00A0719B" w:rsidP="000A0F89">
      <w:pPr>
        <w:pStyle w:val="Lijstalinea"/>
        <w:numPr>
          <w:ilvl w:val="0"/>
          <w:numId w:val="16"/>
        </w:numPr>
      </w:pPr>
      <w:r w:rsidRPr="00A0719B">
        <w:rPr>
          <w:rFonts w:cs="Lucida Sans Unicode"/>
          <w:szCs w:val="18"/>
        </w:rPr>
        <w:t>Te onderzoeken of eigenaren van een rijks- of gemeentelijk monument op andere dan financiële wijze gefaciliteerd kunnen worden, bijvoorbeeld door verruiming van de gebruiksmogelijkheden van monumentale onderdelen van het pand of complex.</w:t>
      </w:r>
    </w:p>
    <w:p w:rsidR="000A0F89" w:rsidRPr="00A0719B" w:rsidRDefault="000A0F89" w:rsidP="000A0F89">
      <w:pPr>
        <w:pStyle w:val="Lijstalinea"/>
        <w:numPr>
          <w:ilvl w:val="0"/>
          <w:numId w:val="16"/>
        </w:numPr>
      </w:pPr>
      <w:r>
        <w:rPr>
          <w:rFonts w:cs="Lucida Sans Unicode"/>
          <w:szCs w:val="18"/>
        </w:rPr>
        <w:t xml:space="preserve">De onder 1 t/m 6 genoemde beslispunten te delen met de gemeenteraad door </w:t>
      </w:r>
      <w:r w:rsidR="004B76C6">
        <w:rPr>
          <w:rFonts w:cs="Lucida Sans Unicode"/>
          <w:szCs w:val="18"/>
        </w:rPr>
        <w:t xml:space="preserve">het Presidium te verzoeken  </w:t>
      </w:r>
      <w:r>
        <w:rPr>
          <w:rFonts w:cs="Lucida Sans Unicode"/>
          <w:szCs w:val="18"/>
        </w:rPr>
        <w:t>de beleidsnotitie “Naar een sober, doch doelmatig Monumentenbeleid”  te agenderen voor het beeldvormende rondetafelgesprek met de gemeenteraad.</w:t>
      </w:r>
    </w:p>
    <w:p w:rsidR="00A0719B" w:rsidRDefault="00A0719B" w:rsidP="00A0719B"/>
    <w:p w:rsidR="00A0719B" w:rsidRDefault="00A0719B" w:rsidP="00A0719B"/>
    <w:p w:rsidR="00A0719B" w:rsidRDefault="00A0719B" w:rsidP="00A0719B"/>
    <w:p w:rsidR="008A5443" w:rsidRPr="000A0F89" w:rsidRDefault="008A5443" w:rsidP="000A0F89">
      <w:pPr>
        <w:rPr>
          <w:b/>
          <w:u w:val="single"/>
        </w:rPr>
      </w:pPr>
    </w:p>
    <w:p w:rsidR="00785DE0" w:rsidRDefault="00785DE0" w:rsidP="00785DE0">
      <w:pPr>
        <w:rPr>
          <w:b/>
          <w:u w:val="single"/>
        </w:rPr>
      </w:pPr>
    </w:p>
    <w:p w:rsidR="00785DE0" w:rsidRPr="00785DE0" w:rsidRDefault="00785DE0" w:rsidP="00785DE0">
      <w:pPr>
        <w:rPr>
          <w:b/>
          <w:u w:val="single"/>
        </w:rPr>
      </w:pPr>
    </w:p>
    <w:p w:rsidR="000E00B4" w:rsidRDefault="000E00B4"/>
    <w:p w:rsidR="00785DE0" w:rsidRDefault="00785DE0"/>
    <w:p w:rsidR="00785DE0" w:rsidRDefault="00785DE0"/>
    <w:p w:rsidR="00785DE0" w:rsidRDefault="00785DE0"/>
    <w:sectPr w:rsidR="00785D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E6" w:rsidRDefault="00C117E6" w:rsidP="00C117E6">
      <w:pPr>
        <w:spacing w:after="0"/>
      </w:pPr>
      <w:r>
        <w:separator/>
      </w:r>
    </w:p>
  </w:endnote>
  <w:endnote w:type="continuationSeparator" w:id="0">
    <w:p w:rsidR="00C117E6" w:rsidRDefault="00C117E6" w:rsidP="00C11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007188"/>
      <w:docPartObj>
        <w:docPartGallery w:val="Page Numbers (Bottom of Page)"/>
        <w:docPartUnique/>
      </w:docPartObj>
    </w:sdtPr>
    <w:sdtEndPr/>
    <w:sdtContent>
      <w:p w:rsidR="00695D4B" w:rsidRDefault="00695D4B">
        <w:pPr>
          <w:pStyle w:val="Voettekst"/>
        </w:pPr>
        <w:r>
          <w:fldChar w:fldCharType="begin"/>
        </w:r>
        <w:r>
          <w:instrText>PAGE   \* MERGEFORMAT</w:instrText>
        </w:r>
        <w:r>
          <w:fldChar w:fldCharType="separate"/>
        </w:r>
        <w:r w:rsidR="00455E50">
          <w:rPr>
            <w:noProof/>
          </w:rPr>
          <w:t>1</w:t>
        </w:r>
        <w:r>
          <w:fldChar w:fldCharType="end"/>
        </w:r>
      </w:p>
    </w:sdtContent>
  </w:sdt>
  <w:p w:rsidR="00695D4B" w:rsidRDefault="00695D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E6" w:rsidRDefault="00C117E6" w:rsidP="00C117E6">
      <w:pPr>
        <w:spacing w:after="0"/>
      </w:pPr>
      <w:r>
        <w:separator/>
      </w:r>
    </w:p>
  </w:footnote>
  <w:footnote w:type="continuationSeparator" w:id="0">
    <w:p w:rsidR="00C117E6" w:rsidRDefault="00C117E6" w:rsidP="00C117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96D"/>
    <w:multiLevelType w:val="hybridMultilevel"/>
    <w:tmpl w:val="3048BD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283DCD"/>
    <w:multiLevelType w:val="hybridMultilevel"/>
    <w:tmpl w:val="DCCAB1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612EC"/>
    <w:multiLevelType w:val="hybridMultilevel"/>
    <w:tmpl w:val="9E0A9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2F2AA8"/>
    <w:multiLevelType w:val="hybridMultilevel"/>
    <w:tmpl w:val="B9405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F334E8"/>
    <w:multiLevelType w:val="hybridMultilevel"/>
    <w:tmpl w:val="5D422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4B1BAE"/>
    <w:multiLevelType w:val="hybridMultilevel"/>
    <w:tmpl w:val="5060E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CC736C"/>
    <w:multiLevelType w:val="hybridMultilevel"/>
    <w:tmpl w:val="0216766C"/>
    <w:lvl w:ilvl="0" w:tplc="9740DC0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9430334"/>
    <w:multiLevelType w:val="hybridMultilevel"/>
    <w:tmpl w:val="A4F8286E"/>
    <w:lvl w:ilvl="0" w:tplc="B2469E9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8921B6"/>
    <w:multiLevelType w:val="hybridMultilevel"/>
    <w:tmpl w:val="51F81B2E"/>
    <w:lvl w:ilvl="0" w:tplc="E9843144">
      <w:start w:val="1"/>
      <w:numFmt w:val="decimal"/>
      <w:lvlText w:val="%1."/>
      <w:lvlJc w:val="left"/>
      <w:pPr>
        <w:ind w:left="1074" w:hanging="360"/>
      </w:pPr>
      <w:rPr>
        <w:rFonts w:hint="default"/>
      </w:r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abstractNum w:abstractNumId="9" w15:restartNumberingAfterBreak="0">
    <w:nsid w:val="4F18182F"/>
    <w:multiLevelType w:val="hybridMultilevel"/>
    <w:tmpl w:val="0890C9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9A3539"/>
    <w:multiLevelType w:val="hybridMultilevel"/>
    <w:tmpl w:val="1FDC84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0459B9"/>
    <w:multiLevelType w:val="hybridMultilevel"/>
    <w:tmpl w:val="86D63280"/>
    <w:lvl w:ilvl="0" w:tplc="1AA0E0A4">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5FB03051"/>
    <w:multiLevelType w:val="hybridMultilevel"/>
    <w:tmpl w:val="82825E24"/>
    <w:lvl w:ilvl="0" w:tplc="D9C27B6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60D7733C"/>
    <w:multiLevelType w:val="hybridMultilevel"/>
    <w:tmpl w:val="5D422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FE1E63"/>
    <w:multiLevelType w:val="hybridMultilevel"/>
    <w:tmpl w:val="8376C9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370812"/>
    <w:multiLevelType w:val="hybridMultilevel"/>
    <w:tmpl w:val="A77E195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7846C7"/>
    <w:multiLevelType w:val="hybridMultilevel"/>
    <w:tmpl w:val="134E07AE"/>
    <w:lvl w:ilvl="0" w:tplc="8F10FA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9"/>
  </w:num>
  <w:num w:numId="5">
    <w:abstractNumId w:val="10"/>
  </w:num>
  <w:num w:numId="6">
    <w:abstractNumId w:val="5"/>
  </w:num>
  <w:num w:numId="7">
    <w:abstractNumId w:val="7"/>
  </w:num>
  <w:num w:numId="8">
    <w:abstractNumId w:val="3"/>
  </w:num>
  <w:num w:numId="9">
    <w:abstractNumId w:val="1"/>
  </w:num>
  <w:num w:numId="10">
    <w:abstractNumId w:val="8"/>
  </w:num>
  <w:num w:numId="11">
    <w:abstractNumId w:val="16"/>
  </w:num>
  <w:num w:numId="12">
    <w:abstractNumId w:val="4"/>
  </w:num>
  <w:num w:numId="13">
    <w:abstractNumId w:val="14"/>
  </w:num>
  <w:num w:numId="14">
    <w:abstractNumId w:val="6"/>
  </w:num>
  <w:num w:numId="15">
    <w:abstractNumId w:val="1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B4"/>
    <w:rsid w:val="0001392C"/>
    <w:rsid w:val="00084D1F"/>
    <w:rsid w:val="00087BE0"/>
    <w:rsid w:val="000A0F89"/>
    <w:rsid w:val="000E00B4"/>
    <w:rsid w:val="000F0D73"/>
    <w:rsid w:val="00105816"/>
    <w:rsid w:val="00116149"/>
    <w:rsid w:val="00147594"/>
    <w:rsid w:val="001636B9"/>
    <w:rsid w:val="00167517"/>
    <w:rsid w:val="001A7642"/>
    <w:rsid w:val="001C4882"/>
    <w:rsid w:val="001D06AB"/>
    <w:rsid w:val="001D28C2"/>
    <w:rsid w:val="001E483D"/>
    <w:rsid w:val="001F5146"/>
    <w:rsid w:val="002278EB"/>
    <w:rsid w:val="00241503"/>
    <w:rsid w:val="00243E17"/>
    <w:rsid w:val="002449E8"/>
    <w:rsid w:val="002854A1"/>
    <w:rsid w:val="00296584"/>
    <w:rsid w:val="002A4FDD"/>
    <w:rsid w:val="002B42D0"/>
    <w:rsid w:val="002D31DF"/>
    <w:rsid w:val="002D4DB1"/>
    <w:rsid w:val="002F4914"/>
    <w:rsid w:val="0030040E"/>
    <w:rsid w:val="00305338"/>
    <w:rsid w:val="00313AC4"/>
    <w:rsid w:val="00324E05"/>
    <w:rsid w:val="003535EC"/>
    <w:rsid w:val="00373390"/>
    <w:rsid w:val="003760B1"/>
    <w:rsid w:val="003D1C3E"/>
    <w:rsid w:val="003D4D9B"/>
    <w:rsid w:val="003D6FE8"/>
    <w:rsid w:val="003F3F1C"/>
    <w:rsid w:val="003F5B58"/>
    <w:rsid w:val="004340D6"/>
    <w:rsid w:val="00445D88"/>
    <w:rsid w:val="004472CC"/>
    <w:rsid w:val="00453C99"/>
    <w:rsid w:val="00455E50"/>
    <w:rsid w:val="00456A71"/>
    <w:rsid w:val="004962B9"/>
    <w:rsid w:val="004B76C6"/>
    <w:rsid w:val="004E07E2"/>
    <w:rsid w:val="00505952"/>
    <w:rsid w:val="005256A7"/>
    <w:rsid w:val="00584D1A"/>
    <w:rsid w:val="0059385B"/>
    <w:rsid w:val="005A1CBF"/>
    <w:rsid w:val="005C0789"/>
    <w:rsid w:val="005C7507"/>
    <w:rsid w:val="00605CEC"/>
    <w:rsid w:val="00656A92"/>
    <w:rsid w:val="00675BA6"/>
    <w:rsid w:val="00695D4B"/>
    <w:rsid w:val="006B1FED"/>
    <w:rsid w:val="006B35A7"/>
    <w:rsid w:val="006B3EB3"/>
    <w:rsid w:val="006C0D98"/>
    <w:rsid w:val="006C7D0F"/>
    <w:rsid w:val="006F0656"/>
    <w:rsid w:val="006F4FA1"/>
    <w:rsid w:val="00706B57"/>
    <w:rsid w:val="007106E2"/>
    <w:rsid w:val="00712AA5"/>
    <w:rsid w:val="0072631B"/>
    <w:rsid w:val="007711E6"/>
    <w:rsid w:val="00785DE0"/>
    <w:rsid w:val="00792CB4"/>
    <w:rsid w:val="007A504A"/>
    <w:rsid w:val="007D6A57"/>
    <w:rsid w:val="007E6A40"/>
    <w:rsid w:val="007F4C4F"/>
    <w:rsid w:val="008128C2"/>
    <w:rsid w:val="00821162"/>
    <w:rsid w:val="00891D24"/>
    <w:rsid w:val="00896FA9"/>
    <w:rsid w:val="008A5443"/>
    <w:rsid w:val="008B00FA"/>
    <w:rsid w:val="008D7A78"/>
    <w:rsid w:val="00911DC2"/>
    <w:rsid w:val="00926E60"/>
    <w:rsid w:val="00981EDA"/>
    <w:rsid w:val="0099113F"/>
    <w:rsid w:val="009D334B"/>
    <w:rsid w:val="009D579F"/>
    <w:rsid w:val="009F7AAA"/>
    <w:rsid w:val="00A0719B"/>
    <w:rsid w:val="00A11BA7"/>
    <w:rsid w:val="00A262E5"/>
    <w:rsid w:val="00A448DC"/>
    <w:rsid w:val="00AC0D51"/>
    <w:rsid w:val="00AC647C"/>
    <w:rsid w:val="00AD4451"/>
    <w:rsid w:val="00B0254C"/>
    <w:rsid w:val="00B13407"/>
    <w:rsid w:val="00B61DE9"/>
    <w:rsid w:val="00B6460F"/>
    <w:rsid w:val="00BA0857"/>
    <w:rsid w:val="00BC73E4"/>
    <w:rsid w:val="00C03033"/>
    <w:rsid w:val="00C117E6"/>
    <w:rsid w:val="00C326E3"/>
    <w:rsid w:val="00C41EA8"/>
    <w:rsid w:val="00C470C9"/>
    <w:rsid w:val="00C73A79"/>
    <w:rsid w:val="00C76F28"/>
    <w:rsid w:val="00C772A7"/>
    <w:rsid w:val="00CA4F1E"/>
    <w:rsid w:val="00CC48CA"/>
    <w:rsid w:val="00CD213D"/>
    <w:rsid w:val="00CF3ED9"/>
    <w:rsid w:val="00D10F8B"/>
    <w:rsid w:val="00D14C3D"/>
    <w:rsid w:val="00D21ECC"/>
    <w:rsid w:val="00D97C60"/>
    <w:rsid w:val="00DA18CF"/>
    <w:rsid w:val="00DA3782"/>
    <w:rsid w:val="00DC0365"/>
    <w:rsid w:val="00DD48AB"/>
    <w:rsid w:val="00DF4E02"/>
    <w:rsid w:val="00E04021"/>
    <w:rsid w:val="00E45375"/>
    <w:rsid w:val="00E66959"/>
    <w:rsid w:val="00E71053"/>
    <w:rsid w:val="00E751AC"/>
    <w:rsid w:val="00EE74DB"/>
    <w:rsid w:val="00EF2458"/>
    <w:rsid w:val="00F33384"/>
    <w:rsid w:val="00F45D71"/>
    <w:rsid w:val="00F54258"/>
    <w:rsid w:val="00F9558F"/>
    <w:rsid w:val="00FC5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C259-806F-4AC0-AF5B-E979790C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40D6"/>
    <w:pPr>
      <w:ind w:left="720"/>
      <w:contextualSpacing/>
    </w:pPr>
  </w:style>
  <w:style w:type="paragraph" w:styleId="Voetnoottekst">
    <w:name w:val="footnote text"/>
    <w:basedOn w:val="Standaard"/>
    <w:link w:val="VoetnoottekstChar"/>
    <w:uiPriority w:val="99"/>
    <w:rsid w:val="00C117E6"/>
    <w:pPr>
      <w:tabs>
        <w:tab w:val="right" w:pos="9072"/>
      </w:tabs>
      <w:spacing w:after="0"/>
    </w:pPr>
    <w:rPr>
      <w:rFonts w:ascii="Arial" w:eastAsia="MS Mincho" w:hAnsi="Arial" w:cs="Times New Roman"/>
      <w:sz w:val="20"/>
      <w:szCs w:val="20"/>
    </w:rPr>
  </w:style>
  <w:style w:type="character" w:customStyle="1" w:styleId="VoetnoottekstChar">
    <w:name w:val="Voetnoottekst Char"/>
    <w:basedOn w:val="Standaardalinea-lettertype"/>
    <w:link w:val="Voetnoottekst"/>
    <w:uiPriority w:val="99"/>
    <w:rsid w:val="00C117E6"/>
    <w:rPr>
      <w:rFonts w:ascii="Arial" w:eastAsia="MS Mincho" w:hAnsi="Arial" w:cs="Times New Roman"/>
      <w:sz w:val="20"/>
      <w:szCs w:val="20"/>
    </w:rPr>
  </w:style>
  <w:style w:type="character" w:styleId="Voetnootmarkering">
    <w:name w:val="footnote reference"/>
    <w:basedOn w:val="Standaardalinea-lettertype"/>
    <w:uiPriority w:val="99"/>
    <w:rsid w:val="00C117E6"/>
    <w:rPr>
      <w:vertAlign w:val="superscript"/>
    </w:rPr>
  </w:style>
  <w:style w:type="paragraph" w:styleId="Eindnoottekst">
    <w:name w:val="endnote text"/>
    <w:basedOn w:val="Standaard"/>
    <w:link w:val="EindnoottekstChar"/>
    <w:uiPriority w:val="99"/>
    <w:semiHidden/>
    <w:unhideWhenUsed/>
    <w:rsid w:val="00505952"/>
    <w:pPr>
      <w:spacing w:after="0"/>
    </w:pPr>
    <w:rPr>
      <w:sz w:val="20"/>
      <w:szCs w:val="20"/>
    </w:rPr>
  </w:style>
  <w:style w:type="character" w:customStyle="1" w:styleId="EindnoottekstChar">
    <w:name w:val="Eindnoottekst Char"/>
    <w:basedOn w:val="Standaardalinea-lettertype"/>
    <w:link w:val="Eindnoottekst"/>
    <w:uiPriority w:val="99"/>
    <w:semiHidden/>
    <w:rsid w:val="00505952"/>
    <w:rPr>
      <w:sz w:val="20"/>
      <w:szCs w:val="20"/>
    </w:rPr>
  </w:style>
  <w:style w:type="character" w:styleId="Eindnootmarkering">
    <w:name w:val="endnote reference"/>
    <w:basedOn w:val="Standaardalinea-lettertype"/>
    <w:uiPriority w:val="99"/>
    <w:semiHidden/>
    <w:unhideWhenUsed/>
    <w:rsid w:val="00505952"/>
    <w:rPr>
      <w:vertAlign w:val="superscript"/>
    </w:rPr>
  </w:style>
  <w:style w:type="table" w:styleId="Tabelraster">
    <w:name w:val="Table Grid"/>
    <w:basedOn w:val="Standaardtabel"/>
    <w:uiPriority w:val="59"/>
    <w:rsid w:val="00785D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95D4B"/>
    <w:pPr>
      <w:tabs>
        <w:tab w:val="center" w:pos="4536"/>
        <w:tab w:val="right" w:pos="9072"/>
      </w:tabs>
      <w:spacing w:after="0"/>
    </w:pPr>
  </w:style>
  <w:style w:type="character" w:customStyle="1" w:styleId="KoptekstChar">
    <w:name w:val="Koptekst Char"/>
    <w:basedOn w:val="Standaardalinea-lettertype"/>
    <w:link w:val="Koptekst"/>
    <w:uiPriority w:val="99"/>
    <w:rsid w:val="00695D4B"/>
  </w:style>
  <w:style w:type="paragraph" w:styleId="Voettekst">
    <w:name w:val="footer"/>
    <w:basedOn w:val="Standaard"/>
    <w:link w:val="VoettekstChar"/>
    <w:uiPriority w:val="99"/>
    <w:unhideWhenUsed/>
    <w:rsid w:val="00695D4B"/>
    <w:pPr>
      <w:tabs>
        <w:tab w:val="center" w:pos="4536"/>
        <w:tab w:val="right" w:pos="9072"/>
      </w:tabs>
      <w:spacing w:after="0"/>
    </w:pPr>
  </w:style>
  <w:style w:type="character" w:customStyle="1" w:styleId="VoettekstChar">
    <w:name w:val="Voettekst Char"/>
    <w:basedOn w:val="Standaardalinea-lettertype"/>
    <w:link w:val="Voettekst"/>
    <w:uiPriority w:val="99"/>
    <w:rsid w:val="00695D4B"/>
  </w:style>
  <w:style w:type="paragraph" w:styleId="Datum">
    <w:name w:val="Date"/>
    <w:basedOn w:val="Standaard"/>
    <w:next w:val="Standaard"/>
    <w:link w:val="DatumChar"/>
    <w:uiPriority w:val="99"/>
    <w:semiHidden/>
    <w:unhideWhenUsed/>
    <w:rsid w:val="006B1FED"/>
  </w:style>
  <w:style w:type="character" w:customStyle="1" w:styleId="DatumChar">
    <w:name w:val="Datum Char"/>
    <w:basedOn w:val="Standaardalinea-lettertype"/>
    <w:link w:val="Datum"/>
    <w:uiPriority w:val="99"/>
    <w:semiHidden/>
    <w:rsid w:val="006B1FED"/>
  </w:style>
  <w:style w:type="character" w:styleId="Paginanummer">
    <w:name w:val="page number"/>
    <w:basedOn w:val="Standaardalinea-lettertype"/>
    <w:rsid w:val="006B1FED"/>
  </w:style>
  <w:style w:type="paragraph" w:styleId="Ballontekst">
    <w:name w:val="Balloon Text"/>
    <w:basedOn w:val="Standaard"/>
    <w:link w:val="BallontekstChar"/>
    <w:uiPriority w:val="99"/>
    <w:semiHidden/>
    <w:unhideWhenUsed/>
    <w:rsid w:val="000A0F8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3121-21FF-48A4-B205-6137EBF0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3816</Words>
  <Characters>20988</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24755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Bazen, Ad</dc:creator>
  <cp:lastModifiedBy>Mathijs Witte</cp:lastModifiedBy>
  <cp:revision>2</cp:revision>
  <cp:lastPrinted>2014-03-21T11:37:00Z</cp:lastPrinted>
  <dcterms:created xsi:type="dcterms:W3CDTF">2016-11-30T13:34:00Z</dcterms:created>
  <dcterms:modified xsi:type="dcterms:W3CDTF">2016-11-30T13:34:00Z</dcterms:modified>
</cp:coreProperties>
</file>